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8.1.6 (Apache licensed) using REFERENCE JAXB in Red Hat, Inc. Java 1.8.0_482 on Linux -->
    <w:tbl>
      <w:tblPr>
        <w:tblW w:w="0" w:type="auto"/>
        <w:tblLayout w:type="fixed"/>
        <w:tblLook w:firstRow="1" w:lastRow="0" w:firstColumn="1" w:lastColumn="0" w:noHBand="0" w:noVBand="1" w:val="04A0"/>
        <w:tblCaption w:val="titletable"/>
      </w:tblPr>
      <w:tblGrid>
        <w:gridCol w:w="2977"/>
        <w:gridCol w:w="5245"/>
      </w:tblGrid>
      <w:tr w:rsidR="002D6852" w:rsidTr="00EF4519">
        <w:tc>
          <w:tcPr>
            <w:tcW w:w="2977" w:type="dxa"/>
          </w:tcPr>
          <w:p w:rsidRPr="00EF4519" w:rsidR="002D6852" w:rsidP="00EF4519" w:rsidRDefault="006A4211">
            <w:r w:rsidRPr="00EF4519">
              <w:rPr>
                <w:noProof/>
              </w:rPr>
              <w:drawing>
                <wp:inline distT="0" distB="0" distL="0" distR="0">
                  <wp:extent cx="1171575" cy="809625"/>
                  <wp:effectExtent l="0" t="0" r="9525" b="9525"/>
                  <wp:docPr id="1" name="Picture 1" descr="State Crest_85pixels_height"/>
                  <wp:cNvGraphicFramePr>
                    <a:graphicFrameLocks noChangeAspect="true"/>
                  </wp:cNvGraphicFramePr>
                  <a:graphic>
                    <a:graphicData uri="http://schemas.openxmlformats.org/drawingml/2006/picture">
                      <pic:pic>
                        <pic:nvPicPr>
                          <pic:cNvPr id="0" name="Picture 1" descr="State Crest_85pixels_height"/>
                          <pic:cNvPicPr>
                            <a:picLocks noChangeAspect="true" noChangeArrowheads="true"/>
                          </pic:cNvPicPr>
                        </pic:nvPicPr>
                        <pic:blipFill>
                          <a:blip r:embed="rId9">
                            <a:extLst>
                              <a:ext uri="{28A0092B-C50C-407E-A947-70E740481C1C}">
                                <a14:useLocalDpi val="false"/>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rsidRPr="005B5E79" w:rsidR="00C27F1D" w:rsidP="005B5E79" w:rsidRDefault="0081465C">
            <w:r>
              <w:br/>
            </w:r>
            <w:sdt>
              <w:sdtPr>
                <w:alias w:val="Court Title"/>
                <w:tag w:val="courtName"/>
                <w:id w:val="-597174554"/>
                <w:placeholder>
                  <w:docPart w:val="2287E3D7A5999C449F68774214E87459"/>
                </w:placeholder>
                <w:text/>
              </w:sdtPr>
              <w:sdtEndPr/>
              <w:sdtContent>
                <w:r w:rsidR="001B7A55">
                  <w:t>Court of Appeal</w:t>
                </w:r>
                <w:r>
                  <w:br/>
                </w:r>
                <w:r>
                  <w:t xml:space="preserve">Supreme Court</w:t>
                </w:r>
              </w:sdtContent>
            </w:sdt>
          </w:p>
          <w:p w:rsidRPr="00EF4519" w:rsidR="002D6852" w:rsidP="00EF4519" w:rsidRDefault="00C27F1D">
            <w:r w:rsidRPr="00EF4519">
              <w:t>New South Wales</w:t>
            </w:r>
          </w:p>
        </w:tc>
      </w:tr>
    </w:tbl>
    <w:p w:rsidR="00C27F1D" w:rsidP="003C5ECC" w:rsidRDefault="00C27F1D">
      <w:pPr>
        <w:pBdr>
          <w:bottom w:val="single" w:color="auto" w:sz="6" w:space="1"/>
        </w:pBdr>
      </w:pPr>
    </w:p>
    <w:p w:rsidRPr="003C5ECC" w:rsidR="005B5E79" w:rsidP="003C5ECC" w:rsidRDefault="005B5E79"/>
    <w:tbl>
      <w:tblPr>
        <w:tblW w:w="5000" w:type="pct"/>
        <w:tblLook w:firstRow="1" w:lastRow="0" w:firstColumn="1" w:lastColumn="0" w:noHBand="0" w:noVBand="1" w:val="04A0"/>
        <w:tblCaption w:val="coversheet"/>
      </w:tblPr>
      <w:tblGrid>
        <w:gridCol w:w="3085"/>
        <w:gridCol w:w="6157"/>
      </w:tblGrid>
      <w:tr w:rsidR="00856777" w:rsidTr="00AC2B81">
        <w:trPr>
          <w:trHeight w:val="412"/>
        </w:trPr>
        <w:tc>
          <w:tcPr>
            <w:tcW w:w="1669" w:type="pct"/>
          </w:tcPr>
          <w:p w:rsidRPr="00EF4519" w:rsidR="00856777" w:rsidP="00E827DB" w:rsidRDefault="00856777">
            <w:r>
              <w:t>C</w:t>
            </w:r>
            <w:r w:rsidRPr="00EF4519">
              <w:t xml:space="preserve">ase Name: </w:t>
            </w:r>
          </w:p>
        </w:tc>
        <w:tc>
          <w:tcPr>
            <w:tcW w:w="3331" w:type="pct"/>
          </w:tcPr>
          <w:p w:rsidR="00856777" w:rsidP="001B7A55" w:rsidRDefault="00882F5B">
            <w:sdt>
              <w:sdtPr>
                <w:alias w:val="Case Name"/>
                <w:tag w:val="title"/>
                <w:id w:val="-1112213263"/>
                <w:placeholder>
                  <w:docPart w:val="23714A54DE1C5349A32215100E23C70C"/>
                </w:placeholder>
                <w:showingPlcHdr/>
                <w:text w:multiLine="true"/>
              </w:sdtPr>
              <w:sdtEndPr/>
              <w:sdtContent>
                <w:r>
                  <w:t xml:space="preserve">A J Portelli Medical Pty Ltd (ACN 669 583 475) ATF A J Portelli Medical Trust v Black Sheep Building Pty Ltd (ACN 665 735 197)</w:t>
                </w:r>
              </w:sdtContent>
            </w:sdt>
          </w:p>
        </w:tc>
      </w:tr>
      <w:tr w:rsidR="00E827DB" w:rsidTr="00AC2B81">
        <w:trPr>
          <w:trHeight w:val="320"/>
        </w:trPr>
        <w:tc>
          <w:tcPr>
            <w:tcW w:w="1669" w:type="pct"/>
          </w:tcPr>
          <w:p w:rsidRPr="00EF4519" w:rsidR="00E827DB" w:rsidP="00E827DB" w:rsidRDefault="00E827DB">
            <w:r>
              <w:t>Medium Neutral Citation:</w:t>
            </w:r>
            <w:r w:rsidRPr="00EF4519">
              <w:t xml:space="preserve"> </w:t>
            </w:r>
          </w:p>
        </w:tc>
        <w:tc>
          <w:tcPr>
            <w:tcW w:w="3331" w:type="pct"/>
          </w:tcPr>
          <w:p w:rsidR="00E827DB" w:rsidP="00D37BAC" w:rsidRDefault="00882F5B">
            <w:sdt>
              <w:sdtPr>
                <w:alias w:val="Medium Neutral Citation"/>
                <w:tag w:val="mnc"/>
                <w:id w:val="-1833444343"/>
                <w:placeholder>
                  <w:docPart w:val="CEA0958D29B321449DAA1A3408663E44"/>
                </w:placeholder>
                <w:showingPlcHdr/>
                <w:text w:multiLine="true"/>
              </w:sdtPr>
              <w:sdtEndPr/>
              <w:sdtContent>
                <w:r>
                  <w:t xml:space="preserve">[2026] NSWCA 99</w:t>
                </w:r>
              </w:sdtContent>
            </w:sdt>
          </w:p>
        </w:tc>
      </w:tr>
      <w:tr w:rsidR="00E827DB" w:rsidTr="00AC2B81">
        <w:trPr>
          <w:trHeight w:val="370"/>
        </w:trPr>
        <w:tc>
          <w:tcPr>
            <w:tcW w:w="1669" w:type="pct"/>
          </w:tcPr>
          <w:p w:rsidRPr="00EF4519" w:rsidR="00E827DB" w:rsidP="00E827DB" w:rsidRDefault="00E827DB">
            <w:r>
              <w:t>Hearing Date</w:t>
            </w:r>
            <w:r w:rsidRPr="00EF4519">
              <w:t xml:space="preserve">(s): </w:t>
            </w:r>
          </w:p>
        </w:tc>
        <w:tc>
          <w:tcPr>
            <w:tcW w:w="3331" w:type="pct"/>
          </w:tcPr>
          <w:p w:rsidR="00E827DB" w:rsidP="004967FE" w:rsidRDefault="00882F5B">
            <w:sdt>
              <w:sdtPr>
                <w:alias w:val="Hearing Date(s)"/>
                <w:tag w:val="hearingDates"/>
                <w:id w:val="855157727"/>
                <w:placeholder>
                  <w:docPart w:val="9CA603291F38E74C952F4F0686E7F43F"/>
                </w:placeholder>
                <w:showingPlcHdr/>
                <w:text w:multiLine="true"/>
              </w:sdtPr>
              <w:sdtEndPr/>
              <w:sdtContent>
                <w:r>
                  <w:t xml:space="preserve">9 March 2026</w:t>
                </w:r>
              </w:sdtContent>
            </w:sdt>
          </w:p>
        </w:tc>
      </w:tr>
      <w:tr w:rsidR="00B006AC" w:rsidTr="00AC2B81">
        <w:trPr>
          <w:trHeight w:val="370"/>
        </w:trPr>
        <w:tc>
          <w:tcPr>
            <w:tcW w:w="1669" w:type="pct"/>
          </w:tcPr>
          <w:p w:rsidR="00B006AC" w:rsidP="00E827DB" w:rsidRDefault="00B006AC">
            <w:r>
              <w:t>Date of Orders:</w:t>
            </w:r>
          </w:p>
        </w:tc>
        <w:tc>
          <w:tcPr>
            <w:tcW w:w="3331" w:type="pct"/>
          </w:tcPr>
          <w:p w:rsidR="00B006AC" w:rsidP="004967FE" w:rsidRDefault="00882F5B">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t xml:space="preserve">27 May 2026</w:t>
                </w:r>
              </w:sdtContent>
            </w:sdt>
          </w:p>
        </w:tc>
      </w:tr>
      <w:tr w:rsidR="00251EE4" w:rsidTr="00AC2B81">
        <w:trPr>
          <w:trHeight w:val="329"/>
        </w:trPr>
        <w:tc>
          <w:tcPr>
            <w:tcW w:w="1669" w:type="pct"/>
          </w:tcPr>
          <w:p w:rsidRPr="00EF4519" w:rsidR="00251EE4" w:rsidP="00E827DB" w:rsidRDefault="00251EE4">
            <w:r>
              <w:t>Decision Date:</w:t>
            </w:r>
            <w:r w:rsidRPr="00EF4519" w:rsidR="00B914EB">
              <w:t xml:space="preserve"> </w:t>
            </w:r>
          </w:p>
        </w:tc>
        <w:tc>
          <w:tcPr>
            <w:tcW w:w="3331" w:type="pct"/>
          </w:tcPr>
          <w:p w:rsidR="00251EE4" w:rsidP="001B7A55" w:rsidRDefault="00882F5B">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t xml:space="preserve">27 May 2026</w:t>
                </w:r>
              </w:sdtContent>
            </w:sdt>
          </w:p>
        </w:tc>
      </w:tr>
      <w:tr w:rsidR="00251EE4" w:rsidTr="00AC2B81">
        <w:trPr>
          <w:trHeight w:val="273"/>
        </w:trPr>
        <w:tc>
          <w:tcPr>
            <w:tcW w:w="1669" w:type="pct"/>
          </w:tcPr>
          <w:p w:rsidRPr="00EF4519" w:rsidR="00251EE4" w:rsidP="00E827DB" w:rsidRDefault="00251EE4">
            <w:r>
              <w:t>Before:</w:t>
            </w:r>
            <w:r w:rsidRPr="00EF4519" w:rsidR="00B914EB">
              <w:t xml:space="preserve"> </w:t>
            </w:r>
          </w:p>
        </w:tc>
        <w:sdt>
          <w:sdtPr>
            <w:alias w:val="Before"/>
            <w:tag w:val="before"/>
            <w:id w:val="-437217807"/>
            <w:placeholder>
              <w:docPart w:val="8E1FCF9D9BCC7544965FEDDA8E4336E8"/>
            </w:placeholder>
            <w:showingPlcHdr/>
            <w:text w:multiLine="true"/>
          </w:sdtPr>
          <w:sdtEndPr/>
          <w:sdtContent>
            <w:tc>
              <w:tcPr>
                <w:tcW w:w="3331" w:type="pct"/>
              </w:tcPr>
              <w:p w:rsidR="00251EE4" w:rsidP="001B7A55" w:rsidRDefault="001B7A55">
                <w:r>
                  <w:t xml:space="preserve">Ward P at [1]</w:t>
                </w:r>
                <w:r>
                  <w:br/>
                </w:r>
                <w:r>
                  <w:t xml:space="preserve">Free JA at [2]</w:t>
                </w:r>
                <w:r>
                  <w:br/>
                </w:r>
                <w:r>
                  <w:t xml:space="preserve">Griffiths AJA at [81]</w:t>
                </w:r>
              </w:p>
            </w:tc>
          </w:sdtContent>
        </w:sdt>
      </w:tr>
      <w:tr w:rsidR="00251EE4" w:rsidTr="00AC2B81">
        <w:trPr>
          <w:trHeight w:val="465"/>
        </w:trPr>
        <w:tc>
          <w:tcPr>
            <w:tcW w:w="1669" w:type="pct"/>
          </w:tcPr>
          <w:p w:rsidRPr="00EF4519" w:rsidR="00251EE4" w:rsidP="00E827DB" w:rsidRDefault="00251EE4">
            <w:r>
              <w:t>Decision:</w:t>
            </w:r>
            <w:r w:rsidRPr="00EF4519" w:rsidR="00B914EB">
              <w:t xml:space="preserve"> </w:t>
            </w:r>
          </w:p>
        </w:tc>
        <w:tc>
          <w:tcPr>
            <w:tcW w:w="3331" w:type="pct"/>
          </w:tcPr>
          <w:p w:rsidR="00251EE4" w:rsidP="001B7A55" w:rsidRDefault="00882F5B">
            <w:sdt>
              <w:sdtPr>
                <w:rPr>
                  <w:rFonts w:cs="Arial"/>
                </w:rPr>
                <w:alias w:val="Decision"/>
                <w:tag w:val="decision"/>
                <w:id w:val="-1050373838"/>
                <w:placeholder>
                  <w:docPart w:val="BB94B27A1B38FB49AA2427CB2341BFF9"/>
                </w:placeholder>
                <w:showingPlcHdr/>
                <w:text w:multiLine="true"/>
              </w:sdtPr>
              <w:sdtEndPr/>
              <w:sdtContent>
                <w:r>
                  <w:t xml:space="preserve">(1)   Leave to appeal is granted.</w:t>
                </w:r>
                <w:r>
                  <w:br/>
                </w:r>
                <w:r>
                  <w:t xml:space="preserve"> </w:t>
                </w:r>
                <w:r>
                  <w:br/>
                </w:r>
                <w:r>
                  <w:t xml:space="preserve">(2)   Appeal dismissed.</w:t>
                </w:r>
                <w:r>
                  <w:br/>
                </w:r>
                <w:r>
                  <w:t xml:space="preserve"> </w:t>
                </w:r>
                <w:r>
                  <w:br/>
                </w:r>
                <w:r>
                  <w:t xml:space="preserve">(3)   The appellant is to pay the respondent’s    costs.</w:t>
                </w:r>
                <w:r>
                  <w:br/>
                </w:r>
                <w:r>
                  <w:t xml:space="preserve"> </w:t>
                </w:r>
                <w:r>
                  <w:br/>
                </w:r>
                <w:r>
                  <w:t xml:space="preserve">(4)   The amount of $3,822,378.26 which was paid    into Court by the appellant is to be paid out    forthwith to the respondent.</w:t>
                </w:r>
              </w:sdtContent>
            </w:sdt>
          </w:p>
        </w:tc>
      </w:tr>
      <w:tr w:rsidR="00251EE4" w:rsidTr="00AC2B81">
        <w:trPr>
          <w:trHeight w:val="373"/>
        </w:trPr>
        <w:tc>
          <w:tcPr>
            <w:tcW w:w="1669" w:type="pct"/>
          </w:tcPr>
          <w:p w:rsidRPr="00EF4519" w:rsidR="00251EE4" w:rsidP="00E827DB" w:rsidRDefault="00251EE4">
            <w:r>
              <w:t>Catchwords:</w:t>
            </w:r>
            <w:r w:rsidRPr="00EF4519" w:rsidR="00B914EB">
              <w:t xml:space="preserve"> </w:t>
            </w:r>
          </w:p>
        </w:tc>
        <w:tc>
          <w:tcPr>
            <w:tcW w:w="3331" w:type="pct"/>
          </w:tcPr>
          <w:p w:rsidR="00251EE4" w:rsidP="001B7A55" w:rsidRDefault="00882F5B">
            <w:sdt>
              <w:sdtPr>
                <w:alias w:val="Catchwords"/>
                <w:tag w:val="catchwords"/>
                <w:id w:val="-2097856291"/>
                <w:placeholder>
                  <w:docPart w:val="9628263C21A0F347B1037F8B6E2E16E6"/>
                </w:placeholder>
                <w:showingPlcHdr/>
                <w:text w:multiLine="true"/>
              </w:sdtPr>
              <w:sdtEndPr/>
              <w:sdtContent>
                <w:r>
                  <w:t xml:space="preserve">CIVIL PROCEDURE — summary disposal — contract for design and construction of high physical support accommodation — recovery of unpaid payment claims — summary judgment for plaintiff below — whether triable issue as to valid service of payment claims — whether triable issue as to entitlement to claim progress payments where no insurance for residential construction — whether triable issue because of prospect of expert evidence informing statutory construction — no serious or substantial dispute of fact — no triable issue</w:t>
                </w:r>
                <w:r>
                  <w:br/>
                </w:r>
                <w:r>
                  <w:t xml:space="preserve"> </w:t>
                </w:r>
                <w:r>
                  <w:br/>
                </w:r>
                <w:r>
                  <w:t xml:space="preserve">BUILDING AND CONSTRUCTION — payment claims — Building and Construction Industry Security of Payment Act 1999 (NSW), s 13 — requirements for service of a valid payment claim — whether claimant must establish as a matter of objective fact that construction work was carried out within the relevant time period — failure to serve payment schedule — statutory liability arises from lack of response — payment claims not served prematurely</w:t>
                </w:r>
                <w:r>
                  <w:br/>
                </w:r>
                <w:r>
                  <w:t xml:space="preserve"> </w:t>
                </w:r>
                <w:r>
                  <w:br/>
                </w:r>
                <w:r>
                  <w:t xml:space="preserve">BUILDING AND CONSTRUCTION — Home Building Act 1989 (NSW), Sch 1, cl 3(3)(d) — residential building work — dwelling — accommodation specially designed for persons with a disability — meaning of “self-contained units” — no serious question of fact arising from speculative possibility of expert evidence on meaning of words — contextual indications of meaning of “self-contained units”</w:t>
                </w:r>
              </w:sdtContent>
            </w:sdt>
          </w:p>
        </w:tc>
      </w:tr>
      <w:tr w:rsidR="00251EE4" w:rsidTr="00AC2B81">
        <w:trPr>
          <w:trHeight w:val="281"/>
        </w:trPr>
        <w:tc>
          <w:tcPr>
            <w:tcW w:w="1669" w:type="pct"/>
          </w:tcPr>
          <w:p w:rsidRPr="00EF4519" w:rsidR="00251EE4" w:rsidP="00E827DB" w:rsidRDefault="00251EE4">
            <w:r>
              <w:t>Legislation Cited:</w:t>
            </w:r>
            <w:r w:rsidRPr="00EF4519" w:rsidR="00B914EB">
              <w:t xml:space="preserve"> </w:t>
            </w:r>
          </w:p>
        </w:tc>
        <w:tc>
          <w:tcPr>
            <w:tcW w:w="3331" w:type="pct"/>
          </w:tcPr>
          <w:p w:rsidR="00251EE4" w:rsidP="001B7A55" w:rsidRDefault="00882F5B">
            <w:sdt>
              <w:sdtPr>
                <w:alias w:val="Legislation Cited"/>
                <w:tag w:val="legislationCited"/>
                <w:id w:val="-2034725931"/>
                <w:placeholder>
                  <w:docPart w:val="5A00766E1BC20A46B675FA54E3371F87"/>
                </w:placeholder>
                <w:showingPlcHdr/>
                <w:text w:multiLine="true"/>
              </w:sdtPr>
              <w:sdtEndPr/>
              <w:sdtContent>
                <w:r>
                  <w:t xml:space="preserve">Building and Construction Industry Security of Payment Act 1999 (NSW), ss 8, 11, 13, 14, 15</w:t>
                </w:r>
                <w:r>
                  <w:br/>
                </w:r>
                <w:r>
                  <w:t xml:space="preserve">Building and Construction Industry Security of Payment Amendment Act 2018 (NSW)</w:t>
                </w:r>
                <w:r>
                  <w:br/>
                </w:r>
                <w:r>
                  <w:t xml:space="preserve">Home Building Act 1989 (NSW), s 92</w:t>
                </w:r>
                <w:r>
                  <w:br/>
                </w:r>
                <w:r>
                  <w:t xml:space="preserve">Supreme Court Act 1970 (NSW), s 101(2)(e)</w:t>
                </w:r>
              </w:sdtContent>
            </w:sdt>
          </w:p>
        </w:tc>
      </w:tr>
      <w:tr w:rsidR="00251EE4" w:rsidTr="00AC2B81">
        <w:trPr>
          <w:trHeight w:val="331"/>
        </w:trPr>
        <w:tc>
          <w:tcPr>
            <w:tcW w:w="1669" w:type="pct"/>
          </w:tcPr>
          <w:p w:rsidRPr="00EF4519" w:rsidR="00251EE4" w:rsidP="00E827DB" w:rsidRDefault="00251EE4">
            <w:r>
              <w:t>Cases Cited:</w:t>
            </w:r>
            <w:r w:rsidRPr="00EF4519" w:rsidR="00B914EB">
              <w:t xml:space="preserve"> </w:t>
            </w:r>
          </w:p>
        </w:tc>
        <w:tc>
          <w:tcPr>
            <w:tcW w:w="3331" w:type="pct"/>
          </w:tcPr>
          <w:p w:rsidR="00251EE4" w:rsidP="001B7A55" w:rsidRDefault="00882F5B">
            <w:sdt>
              <w:sdtPr>
                <w:alias w:val="Cases Cited"/>
                <w:tag w:val="casesCited"/>
                <w:id w:val="-230469519"/>
                <w:placeholder>
                  <w:docPart w:val="A23E6993E6A8F64D83520CA63B49071B"/>
                </w:placeholder>
                <w:showingPlcHdr/>
                <w:text w:multiLine="true"/>
              </w:sdtPr>
              <w:sdtEndPr/>
              <w:sdtContent>
                <w:r>
                  <w:t xml:space="preserve">Chalak v G &amp; G Mikhael Pty Ltd [2022] NSWCA 116</w:t>
                </w:r>
                <w:r>
                  <w:br/>
                </w:r>
                <w:r>
                  <w:t xml:space="preserve">Clarence Street Pty Ltd v Isis Projects Pty Ltd (2005) 64 NSWLR 448; [2005] NSWCA 391</w:t>
                </w:r>
                <w:r>
                  <w:br/>
                </w:r>
                <w:r>
                  <w:t xml:space="preserve">Fernandes Constructions Pty Ltd v Tahmoor Coal Pty Ltd t/as Centennial Coal [2007] NSWSC 381</w:t>
                </w:r>
                <w:r>
                  <w:br/>
                </w:r>
                <w:r>
                  <w:t xml:space="preserve">General Accident Fire &amp; Life Assurance Corporation Ltd v Commissioner of Pay-roll Tax [1982] 2 NSWLR 52</w:t>
                </w:r>
                <w:r>
                  <w:br/>
                </w:r>
                <w:r>
                  <w:t xml:space="preserve">Manariti Plumbing Pty Ltd v Universal Property Group Pty Ltd [2025] NSWCA 135</w:t>
                </w:r>
                <w:r>
                  <w:br/>
                </w:r>
                <w:r>
                  <w:t xml:space="preserve">Nepean Engineering Pty Ltd v Total Process Services Pty Ltd (in liq) (2005) 64 NSWLR 462; [2005] NSWCA 409</w:t>
                </w:r>
                <w:r>
                  <w:br/>
                </w:r>
                <w:r>
                  <w:t xml:space="preserve">Rowston v Sydney County Council (1954) 92 CLR 605; [1954] HCA 66</w:t>
                </w:r>
                <w:r>
                  <w:br/>
                </w:r>
                <w:r>
                  <w:t xml:space="preserve">R v AL (2016) 260 A Crim R 153; [2016] VSCA 156</w:t>
                </w:r>
                <w:r>
                  <w:br/>
                </w:r>
                <w:r>
                  <w:t xml:space="preserve">Sidebottom v Cureton (1937) 54 WN (NSW) 88</w:t>
                </w:r>
                <w:r>
                  <w:br/>
                </w:r>
                <w:r>
                  <w:t xml:space="preserve">Sharp v Glasser (1946) 46 SR (NSW) 379</w:t>
                </w:r>
              </w:sdtContent>
            </w:sdt>
          </w:p>
        </w:tc>
      </w:tr>
      <w:tr w:rsidR="00251EE4" w:rsidTr="00AC2B81">
        <w:trPr>
          <w:trHeight w:val="381"/>
        </w:trPr>
        <w:tc>
          <w:tcPr>
            <w:tcW w:w="1669" w:type="pct"/>
          </w:tcPr>
          <w:p w:rsidRPr="00EF4519" w:rsidR="00251EE4" w:rsidP="00E827DB" w:rsidRDefault="00251EE4">
            <w:r>
              <w:t>Texts Cited:</w:t>
            </w:r>
            <w:r w:rsidRPr="00EF4519" w:rsidR="00B914EB">
              <w:t xml:space="preserve"> </w:t>
            </w:r>
          </w:p>
        </w:tc>
        <w:tc>
          <w:tcPr>
            <w:tcW w:w="3331" w:type="pct"/>
          </w:tcPr>
          <w:p w:rsidR="00251EE4" w:rsidP="00856777" w:rsidRDefault="00882F5B">
            <w:sdt>
              <w:sdtPr>
                <w:alias w:val="Texts Cited"/>
                <w:tag w:val="textsCited"/>
                <w:id w:val="-368456736"/>
                <w:placeholder>
                  <w:docPart w:val="060452A863326F40B8E9CC07DB6917FD"/>
                </w:placeholder>
                <w:showingPlcHdr/>
                <w:text w:multiLine="true"/>
              </w:sdtPr>
              <w:sdtEndPr/>
              <w:sdtContent>
                <w:r>
                  <w:t xml:space="preserve">P Herzfeld and T Prince, Interpretation (3rd ed, 2024, Lawbook Co)</w:t>
                </w:r>
              </w:sdtContent>
            </w:sdt>
          </w:p>
        </w:tc>
      </w:tr>
      <w:tr w:rsidR="00251EE4" w:rsidTr="00AC2B81">
        <w:trPr>
          <w:trHeight w:val="430"/>
        </w:trPr>
        <w:tc>
          <w:tcPr>
            <w:tcW w:w="1669" w:type="pct"/>
          </w:tcPr>
          <w:p w:rsidRPr="00EF4519" w:rsidR="00251EE4" w:rsidP="00E827DB" w:rsidRDefault="00251EE4">
            <w:r>
              <w:t>Category:</w:t>
            </w:r>
            <w:r w:rsidRPr="00EF4519" w:rsidR="00B914EB">
              <w:t xml:space="preserve"> </w:t>
            </w:r>
          </w:p>
        </w:tc>
        <w:sdt>
          <w:sdtPr>
            <w:alias w:val="Category"/>
            <w:tag w:val="category"/>
            <w:id w:val="1018119699"/>
            <w:placeholder>
              <w:docPart w:val="6628CDE8242ABE4A8E58F2768A081E0C"/>
            </w:placeholder>
            <w:showingPlcHdr/>
            <w:text w:multiLine="true"/>
          </w:sdtPr>
          <w:sdtEndPr/>
          <w:sdtContent>
            <w:tc>
              <w:tcPr>
                <w:tcW w:w="3331" w:type="pct"/>
              </w:tcPr>
              <w:p w:rsidR="00251EE4" w:rsidP="001B7A55" w:rsidRDefault="001B7A55">
                <w:r>
                  <w:t xml:space="preserve">Principal judgment</w:t>
                </w:r>
              </w:p>
            </w:tc>
          </w:sdtContent>
        </w:sdt>
      </w:tr>
      <w:tr w:rsidR="00831DA1" w:rsidTr="00AC2B81">
        <w:trPr>
          <w:trHeight w:val="480"/>
        </w:trPr>
        <w:tc>
          <w:tcPr>
            <w:tcW w:w="1669" w:type="pct"/>
          </w:tcPr>
          <w:p w:rsidRPr="00EF4519" w:rsidR="00831DA1" w:rsidP="00E827DB" w:rsidRDefault="00831DA1">
            <w:r>
              <w:t>Parties:</w:t>
            </w:r>
            <w:r w:rsidRPr="00EF4519" w:rsidR="00B914EB">
              <w:t xml:space="preserve"> </w:t>
            </w:r>
          </w:p>
        </w:tc>
        <w:tc>
          <w:tcPr>
            <w:tcW w:w="3331" w:type="pct"/>
          </w:tcPr>
          <w:p w:rsidR="00831DA1" w:rsidP="001B7A55" w:rsidRDefault="00882F5B">
            <w:sdt>
              <w:sdtPr>
                <w:alias w:val="Parties"/>
                <w:tag w:val="parties"/>
                <w:id w:val="-806626852"/>
                <w:placeholder>
                  <w:docPart w:val="B3EE222B3A0F7C449BC3F6E77D0B866B"/>
                </w:placeholder>
                <w:showingPlcHdr/>
                <w:text w:multiLine="true"/>
              </w:sdtPr>
              <w:sdtEndPr/>
              <w:sdtContent>
                <w:r>
                  <w:t xml:space="preserve">A J Portelli Medical Pty Ltd (ACN 669 583 475) ATF A J Portelli Medical Trust (Appellant)</w:t>
                </w:r>
                <w:r>
                  <w:br/>
                </w:r>
                <w:r>
                  <w:t xml:space="preserve">Black Sheep Building Pty Ltd (ACN 665 735 197) (Respondent)</w:t>
                </w:r>
              </w:sdtContent>
            </w:sdt>
          </w:p>
        </w:tc>
      </w:tr>
      <w:tr w:rsidR="00251EE4" w:rsidTr="00AC2B81">
        <w:trPr>
          <w:trHeight w:val="247"/>
        </w:trPr>
        <w:tc>
          <w:tcPr>
            <w:tcW w:w="1669" w:type="pct"/>
          </w:tcPr>
          <w:p w:rsidRPr="00EF4519" w:rsidR="00251EE4" w:rsidP="00E827DB" w:rsidRDefault="00251EE4">
            <w:r>
              <w:t>Representation:</w:t>
            </w:r>
            <w:r w:rsidRPr="00EF4519" w:rsidR="00B914EB">
              <w:t xml:space="preserve"> </w:t>
            </w:r>
          </w:p>
        </w:tc>
        <w:tc>
          <w:tcPr>
            <w:tcW w:w="3331" w:type="pct"/>
          </w:tcPr>
          <w:p w:rsidR="00251EE4" w:rsidP="001B7A55" w:rsidRDefault="00882F5B">
            <w:sdt>
              <w:sdtPr>
                <w:alias w:val="Represenation"/>
                <w:tag w:val="representation"/>
                <w:id w:val="-1683732415"/>
                <w:placeholder>
                  <w:docPart w:val="1A38A171EF11A54DB21B83C7D4CB0CBA"/>
                </w:placeholder>
                <w:showingPlcHdr/>
                <w:text w:multiLine="true"/>
              </w:sdtPr>
              <w:sdtEndPr/>
              <w:sdtContent>
                <w:r>
                  <w:t xml:space="preserve">Counsel:</w:t>
                </w:r>
                <w:r>
                  <w:br/>
                </w:r>
                <w:r>
                  <w:t xml:space="preserve">D S Weinberger SC / J Courtenay (Appellant)</w:t>
                </w:r>
                <w:r>
                  <w:br/>
                </w:r>
                <w:r>
                  <w:t xml:space="preserve">F P Hicks SC / S J Steinhoff (Respondent)</w:t>
                </w:r>
                <w:r>
                  <w:br/>
                </w:r>
                <w:r>
                  <w:t xml:space="preserve"/>
                </w:r>
                <w:r>
                  <w:br/>
                </w:r>
                <w:r>
                  <w:t xml:space="preserve">Solicitors:</w:t>
                </w:r>
                <w:r>
                  <w:br/>
                </w:r>
                <w:r>
                  <w:t xml:space="preserve">Aquila Lawyers (Appellant)</w:t>
                </w:r>
                <w:r>
                  <w:br/>
                </w:r>
                <w:r>
                  <w:t xml:space="preserve">Level Playing Field Lawyers (Respondent)</w:t>
                </w:r>
              </w:sdtContent>
            </w:sdt>
          </w:p>
        </w:tc>
      </w:tr>
      <w:tr w:rsidR="00251EE4" w:rsidTr="00AC2B81">
        <w:trPr>
          <w:trHeight w:val="297"/>
        </w:trPr>
        <w:tc>
          <w:tcPr>
            <w:tcW w:w="1669" w:type="pct"/>
          </w:tcPr>
          <w:p w:rsidRPr="00EF4519" w:rsidR="00251EE4" w:rsidP="00E827DB" w:rsidRDefault="00ED3424">
            <w:r>
              <w:t>File Num</w:t>
            </w:r>
            <w:r w:rsidRPr="00EF4519" w:rsidR="00162707">
              <w:t>ber</w:t>
            </w:r>
            <w:r w:rsidRPr="00EF4519" w:rsidR="00201CA2">
              <w:t>(s)</w:t>
            </w:r>
            <w:r w:rsidRPr="00EF4519">
              <w:t>:</w:t>
            </w:r>
            <w:r w:rsidRPr="00EF4519" w:rsidR="00B914EB">
              <w:t xml:space="preserve"> </w:t>
            </w:r>
          </w:p>
        </w:tc>
        <w:tc>
          <w:tcPr>
            <w:tcW w:w="3331" w:type="pct"/>
          </w:tcPr>
          <w:p w:rsidR="00251EE4" w:rsidP="001B7A55" w:rsidRDefault="00882F5B">
            <w:sdt>
              <w:sdtPr>
                <w:alias w:val="File Numbers"/>
                <w:tag w:val="fileNumbers"/>
                <w:id w:val="161209586"/>
                <w:placeholder>
                  <w:docPart w:val="C38290365A6BEE4A83D8CA3C9A53E9A8"/>
                </w:placeholder>
                <w:showingPlcHdr/>
                <w:text w:multiLine="true"/>
              </w:sdtPr>
              <w:sdtEndPr/>
              <w:sdtContent>
                <w:r>
                  <w:t xml:space="preserve">2026/4922</w:t>
                </w:r>
              </w:sdtContent>
            </w:sdt>
          </w:p>
        </w:tc>
      </w:tr>
      <w:tr w:rsidR="00E827DB" w:rsidTr="00AC2B81">
        <w:trPr>
          <w:trHeight w:val="397"/>
        </w:trPr>
        <w:tc>
          <w:tcPr>
            <w:tcW w:w="1669" w:type="pct"/>
          </w:tcPr>
          <w:p w:rsidR="00E827DB" w:rsidP="00E827DB" w:rsidRDefault="00E827DB">
            <w:r>
              <w:t>Decision under appeal</w:t>
            </w:r>
            <w:r w:rsidRPr="00EF4519">
              <w:t>:</w:t>
            </w:r>
            <w:r>
              <w:t xml:space="preserve"> </w:t>
            </w:r>
          </w:p>
        </w:tc>
        <w:tc>
          <w:tcPr>
            <w:tcW w:w="3331" w:type="pct"/>
          </w:tcPr>
          <w:p w:rsidRPr="00EF4519" w:rsidR="00E827DB" w:rsidP="00856777" w:rsidRDefault="00E827DB">
            <w:sdt>
              <w:sdtPr>
                <w:alias w:val="Decision Under Appeal"/>
                <w:tag w:val="appeal"/>
                <w:id w:val="-117772912"/>
                <w:placeholder>
                  <w:docPart w:val="E8B7626A71E1B64AB957DAADD4528E61"/>
                </w:placeholder>
                <w:showingPlcHdr/>
                <w:text w:multiLine="true"/>
              </w:sdtPr>
              <w:sdtEndPr/>
              <w:sdtContent>
                <w:r w:rsidR="00856777">
                  <w:t xml:space="preserve"> </w:t>
                </w:r>
              </w:sdtContent>
            </w:sdt>
            <w:r>
              <w:t xml:space="preserve"> </w:t>
            </w:r>
          </w:p>
        </w:tc>
      </w:tr>
      <w:tr w:rsidR="00251EE4" w:rsidTr="00AC2B81">
        <w:trPr>
          <w:trHeight w:val="284"/>
        </w:trPr>
        <w:tc>
          <w:tcPr>
            <w:tcW w:w="1669" w:type="pct"/>
          </w:tcPr>
          <w:p w:rsidRPr="00EF4519" w:rsidR="00251EE4" w:rsidP="00E827DB" w:rsidRDefault="00277342">
            <w:r>
              <w:t xml:space="preserve"> </w:t>
            </w:r>
            <w:r w:rsidR="003F31CE">
              <w:t>Court or</w:t>
            </w:r>
            <w:r w:rsidRPr="00EF4519" w:rsidR="00ED3424">
              <w:t xml:space="preserve"> Tribunal:</w:t>
            </w:r>
            <w:r w:rsidRPr="00EF4519" w:rsidR="00B914EB">
              <w:t xml:space="preserve"> </w:t>
            </w:r>
          </w:p>
        </w:tc>
        <w:sdt>
          <w:sdtPr>
            <w:alias w:val="Court/Tribunal"/>
            <w:tag w:val="aCourt"/>
            <w:id w:val="816004220"/>
            <w:placeholder>
              <w:docPart w:val="2287E3D7A5999C449F68774214E87459"/>
            </w:placeholder>
            <w:text w:multiLine="true"/>
          </w:sdtPr>
          <w:sdtEndPr/>
          <w:sdtContent>
            <w:tc>
              <w:tcPr>
                <w:tcW w:w="3331" w:type="pct"/>
              </w:tcPr>
              <w:p w:rsidR="00251EE4" w:rsidP="008F3D40" w:rsidRDefault="008F3D40">
                <w:r>
                  <w:t xml:space="preserve">Supreme Court</w:t>
                </w:r>
              </w:p>
            </w:tc>
          </w:sdtContent>
        </w:sdt>
      </w:tr>
      <w:tr w:rsidR="00831DA1" w:rsidTr="00AC2B81">
        <w:trPr>
          <w:trHeight w:val="284"/>
        </w:trPr>
        <w:tc>
          <w:tcPr>
            <w:tcW w:w="1669" w:type="pct"/>
          </w:tcPr>
          <w:p w:rsidRPr="00EF4519" w:rsidR="00831DA1" w:rsidP="00E827DB" w:rsidRDefault="00831DA1">
            <w:r>
              <w:t xml:space="preserve">  </w:t>
            </w:r>
            <w:r w:rsidRPr="00EF4519" w:rsidR="000A6DFA">
              <w:t>Jurisdiction</w:t>
            </w:r>
            <w:r w:rsidRPr="00EF4519">
              <w:t>:</w:t>
            </w:r>
            <w:r w:rsidRPr="00EF4519" w:rsidR="00B914EB">
              <w:t xml:space="preserve"> </w:t>
            </w:r>
          </w:p>
        </w:tc>
        <w:sdt>
          <w:sdtPr>
            <w:alias w:val="Jurisdiction"/>
            <w:tag w:val="aJurisdiction"/>
            <w:id w:val="-1888862537"/>
            <w:placeholder>
              <w:docPart w:val="2287E3D7A5999C449F68774214E87459"/>
            </w:placeholder>
            <w:text w:multiLine="true"/>
          </w:sdtPr>
          <w:sdtEndPr/>
          <w:sdtContent>
            <w:tc>
              <w:tcPr>
                <w:tcW w:w="3331" w:type="pct"/>
              </w:tcPr>
              <w:p w:rsidR="00831DA1" w:rsidP="008F3D40" w:rsidRDefault="008F3D40">
                <w:r>
                  <w:t xml:space="preserve">Equity Division</w:t>
                </w:r>
              </w:p>
            </w:tc>
          </w:sdtContent>
        </w:sdt>
      </w:tr>
      <w:tr w:rsidR="00162707" w:rsidTr="00AC2B81">
        <w:trPr>
          <w:trHeight w:val="284"/>
        </w:trPr>
        <w:tc>
          <w:tcPr>
            <w:tcW w:w="1669" w:type="pct"/>
          </w:tcPr>
          <w:p w:rsidRPr="00EF4519" w:rsidR="00162707" w:rsidP="00E827DB" w:rsidRDefault="00162707">
            <w:r>
              <w:t xml:space="preserve">  Citation:</w:t>
            </w:r>
            <w:r w:rsidRPr="00EF4519" w:rsidR="00B914EB">
              <w:t xml:space="preserve"> </w:t>
            </w:r>
          </w:p>
        </w:tc>
        <w:tc>
          <w:tcPr>
            <w:tcW w:w="3331" w:type="pct"/>
          </w:tcPr>
          <w:p w:rsidR="00162707" w:rsidP="00856777" w:rsidRDefault="00882F5B">
            <w:sdt>
              <w:sdtPr>
                <w:alias w:val="Appeal Citation"/>
                <w:tag w:val="aCitation"/>
                <w:id w:val="2091963108"/>
                <w:placeholder>
                  <w:docPart w:val="217D38CADD01B94283F7C310F9E5BE50"/>
                </w:placeholder>
                <w:showingPlcHdr/>
                <w:text w:multiLine="true"/>
              </w:sdtPr>
              <w:sdtEndPr/>
              <w:sdtContent>
                <w:r>
                  <w:t xml:space="preserve">[2025] NSWSC 1472</w:t>
                </w:r>
              </w:sdtContent>
            </w:sdt>
          </w:p>
        </w:tc>
      </w:tr>
      <w:tr w:rsidR="00251EE4" w:rsidTr="00AC2B81">
        <w:trPr>
          <w:trHeight w:val="334"/>
        </w:trPr>
        <w:tc>
          <w:tcPr>
            <w:tcW w:w="1669" w:type="pct"/>
          </w:tcPr>
          <w:p w:rsidRPr="00EF4519" w:rsidR="00251EE4" w:rsidP="00E827DB" w:rsidRDefault="00277342">
            <w:r>
              <w:t xml:space="preserve">  </w:t>
            </w:r>
            <w:r w:rsidRPr="00EF4519" w:rsidR="004930AF">
              <w:t>Date of Decision:</w:t>
            </w:r>
            <w:r w:rsidRPr="00EF4519" w:rsidR="00B914EB">
              <w:t xml:space="preserve"> </w:t>
            </w:r>
          </w:p>
        </w:tc>
        <w:tc>
          <w:tcPr>
            <w:tcW w:w="3331" w:type="pct"/>
          </w:tcPr>
          <w:p w:rsidR="00251EE4" w:rsidP="00856777" w:rsidRDefault="00882F5B">
            <w:sdt>
              <w:sdtPr>
                <w:alias w:val="Date of Decision"/>
                <w:tag w:val="aDecisionDate"/>
                <w:id w:val="-1542505353"/>
                <w:placeholder>
                  <w:docPart w:val="2FBB1D739F997A4C9851874ABC8B0AC1"/>
                </w:placeholder>
                <w:showingPlcHdr/>
                <w:date>
                  <w:dateFormat w:val="d MMMM yyyy"/>
                  <w:lid w:val="en-AU"/>
                  <w:storeMappedDataAs w:val="dateTime"/>
                  <w:calendar w:val="gregorian"/>
                </w:date>
              </w:sdtPr>
              <w:sdtEndPr/>
              <w:sdtContent>
                <w:r>
                  <w:t xml:space="preserve">12 December 2025</w:t>
                </w:r>
              </w:sdtContent>
            </w:sdt>
          </w:p>
        </w:tc>
      </w:tr>
      <w:tr w:rsidR="00251EE4" w:rsidTr="00AC2B81">
        <w:trPr>
          <w:trHeight w:val="384"/>
        </w:trPr>
        <w:tc>
          <w:tcPr>
            <w:tcW w:w="1669" w:type="pct"/>
          </w:tcPr>
          <w:p w:rsidRPr="00EF4519" w:rsidR="00251EE4" w:rsidP="00E827DB" w:rsidRDefault="00277342">
            <w:r>
              <w:t xml:space="preserve">  </w:t>
            </w:r>
            <w:r w:rsidRPr="00EF4519" w:rsidR="00162707">
              <w:t>Before</w:t>
            </w:r>
            <w:r w:rsidRPr="00EF4519" w:rsidR="004930AF">
              <w:t>:</w:t>
            </w:r>
            <w:r w:rsidRPr="00EF4519" w:rsidR="00B914EB">
              <w:t xml:space="preserve"> </w:t>
            </w:r>
          </w:p>
        </w:tc>
        <w:tc>
          <w:tcPr>
            <w:tcW w:w="3331" w:type="pct"/>
          </w:tcPr>
          <w:p w:rsidR="00251EE4" w:rsidP="00F822F4" w:rsidRDefault="00882F5B">
            <w:sdt>
              <w:sdtPr>
                <w:alias w:val="Before"/>
                <w:tag w:val="aBefore"/>
                <w:id w:val="-1858493395"/>
                <w:placeholder>
                  <w:docPart w:val="F09835F13B8F9844838CACDD8B96763F"/>
                </w:placeholder>
                <w:showingPlcHdr/>
                <w:text w:multiLine="true"/>
              </w:sdtPr>
              <w:sdtEndPr/>
              <w:sdtContent>
                <w:r>
                  <w:t xml:space="preserve">Peden J</w:t>
                </w:r>
              </w:sdtContent>
            </w:sdt>
          </w:p>
        </w:tc>
      </w:tr>
      <w:tr w:rsidR="00251EE4" w:rsidTr="00AC2B81">
        <w:trPr>
          <w:trHeight w:val="1015"/>
        </w:trPr>
        <w:tc>
          <w:tcPr>
            <w:tcW w:w="1669" w:type="pct"/>
          </w:tcPr>
          <w:p w:rsidRPr="00EF4519" w:rsidR="00251EE4" w:rsidP="00E827DB" w:rsidRDefault="00277342">
            <w:r>
              <w:t xml:space="preserve">  </w:t>
            </w:r>
            <w:r w:rsidRPr="00EF4519" w:rsidR="004930AF">
              <w:t>File Number</w:t>
            </w:r>
            <w:r w:rsidRPr="00EF4519" w:rsidR="00201CA2">
              <w:t>(s)</w:t>
            </w:r>
            <w:r w:rsidRPr="00EF4519" w:rsidR="004930AF">
              <w:t>:</w:t>
            </w:r>
            <w:r w:rsidRPr="00EF4519" w:rsidR="00B914EB">
              <w:t xml:space="preserve"> </w:t>
            </w:r>
          </w:p>
        </w:tc>
        <w:tc>
          <w:tcPr>
            <w:tcW w:w="3331" w:type="pct"/>
          </w:tcPr>
          <w:p w:rsidR="00251EE4" w:rsidP="00856777" w:rsidRDefault="00882F5B">
            <w:sdt>
              <w:sdtPr>
                <w:alias w:val="File Numbers"/>
                <w:tag w:val="aFileNumbers"/>
                <w:id w:val="1129205698"/>
                <w:placeholder>
                  <w:docPart w:val="4D4B4D2BC735494E88685FCB1B11F7E2"/>
                </w:placeholder>
                <w:showingPlcHdr/>
                <w:text w:multiLine="true"/>
              </w:sdtPr>
              <w:sdtEndPr/>
              <w:sdtContent>
                <w:r>
                  <w:t xml:space="preserve">2025/396668</w:t>
                </w:r>
              </w:sdtContent>
            </w:sdt>
          </w:p>
        </w:tc>
      </w:tr>
    </w:tbl>
    <w:p/>
    <w:p w:rsidRPr="00EF40A6" w:rsidR="00F22B5D" w:rsidP="00575582" w:rsidRDefault="00A2002E">
      <w:pPr>
        <w:shd w:val="clear" w:color="auto" w:fill="FFFFFF"/>
        <w:spacing w:after="0" w:line="240" w:lineRule="auto"/>
        <w:rPr>
          <w:rFonts w:cs="Arial"/>
          <w:i/>
          <w:iCs/>
          <w:color w:val="333333"/>
          <w:shd w:val="clear" w:color="auto" w:fill="FFFFFF"/>
        </w:rPr>
      </w:pPr>
      <w:r w:rsidRPr="00EF40A6">
        <w:rPr>
          <w:rStyle w:val="Emphasis"/>
          <w:rFonts w:cs="Arial"/>
          <w:color w:val="333333"/>
          <w:shd w:val="clear" w:color="auto" w:fill="FFFFFF"/>
        </w:rPr>
        <w:t>[Note: The Uniform Civil Procedure Rules 2005 provide (Rule 36.11) that unless the Court otherwise orders, a judgment or order is taken to be entered when it is recorded in the Court's computerised court record system. Setting aside and variation of judgments or orders is dealt with by Rules 36.15, 36.16, 36.17 and 36.18. Parties should in particular note the time limit of fourteen days in Rule 36.16.]</w:t>
      </w:r>
    </w:p>
    <w:p/>
    <w:p>
      <w:pPr>
        <w:pStyle w:val="CaselawHeading1"/>
        <w:keepNext/>
        <w:spacing w:before="150" w:after="150" w:line="264"/>
        <w:ind w:left="0"/>
      </w:pPr>
      <w:r>
        <w:rPr>
          <w:rFonts w:ascii="Arial"/>
        </w:rPr>
        <w:t>HEADNOTE</w:t>
      </w:r>
    </w:p>
    <w:p>
      <w:pPr>
        <w:pStyle w:val="CaselawNormal"/>
        <w:spacing w:before="150" w:after="150"/>
        <w:ind w:left="600"/>
        <w:jc w:val="left"/>
      </w:pPr>
      <w:r>
        <w:rPr>
          <w:rFonts w:ascii="Arial"/>
          <w:b/>
          <w:color w:val="000000"/>
          <w:sz w:val="24"/>
        </w:rPr>
        <w:t>[This headnote is not to be read as part of the judgment]</w:t>
      </w:r>
    </w:p>
    <w:p>
      <w:pPr>
        <w:pStyle w:val="CaselawNormal"/>
        <w:spacing w:before="150" w:after="150"/>
        <w:ind w:left="600"/>
        <w:jc w:val="left"/>
      </w:pPr>
      <w:r>
        <w:rPr>
          <w:rFonts w:ascii="Arial"/>
          <w:color w:val="000000"/>
          <w:sz w:val="24"/>
        </w:rPr>
        <w:t xml:space="preserve">The applicant, A J Portelli Medical Pty Ltd </w:t>
      </w:r>
      <w:r>
        <w:rPr>
          <w:rFonts w:ascii="Arial"/>
          <w:color w:val="000000"/>
          <w:sz w:val="24"/>
        </w:rPr>
        <w:t>atf</w:t>
      </w:r>
      <w:r>
        <w:rPr>
          <w:rFonts w:ascii="Arial"/>
          <w:color w:val="000000"/>
          <w:sz w:val="24"/>
        </w:rPr>
        <w:t xml:space="preserve"> A J Portelli Medical Trust (</w:t>
      </w:r>
      <w:r>
        <w:rPr>
          <w:rFonts w:ascii="Arial"/>
          <w:b/>
          <w:color w:val="000000"/>
          <w:sz w:val="24"/>
        </w:rPr>
        <w:t>Portelli</w:t>
      </w:r>
      <w:r>
        <w:rPr>
          <w:rFonts w:ascii="Arial"/>
          <w:color w:val="000000"/>
          <w:sz w:val="24"/>
        </w:rPr>
        <w:t>), and the respondent, Black Sheep Building Pty Ltd (</w:t>
      </w:r>
      <w:r>
        <w:rPr>
          <w:rFonts w:ascii="Arial"/>
          <w:b/>
          <w:color w:val="000000"/>
          <w:sz w:val="24"/>
        </w:rPr>
        <w:t>Black Sheep</w:t>
      </w:r>
      <w:r>
        <w:rPr>
          <w:rFonts w:ascii="Arial"/>
          <w:color w:val="000000"/>
          <w:sz w:val="24"/>
        </w:rPr>
        <w:t xml:space="preserve">), are parties to a contract </w:t>
      </w:r>
      <w:r>
        <w:rPr>
          <w:rFonts w:ascii="Arial"/>
          <w:color w:val="000000"/>
          <w:sz w:val="24"/>
        </w:rPr>
        <w:t>(</w:t>
      </w:r>
      <w:r>
        <w:rPr>
          <w:rFonts w:ascii="Arial"/>
          <w:b/>
          <w:color w:val="000000"/>
          <w:sz w:val="24"/>
        </w:rPr>
        <w:t>Contract</w:t>
      </w:r>
      <w:r>
        <w:rPr>
          <w:rFonts w:ascii="Arial"/>
          <w:color w:val="000000"/>
          <w:sz w:val="24"/>
        </w:rPr>
        <w:t xml:space="preserve">) </w:t>
      </w:r>
      <w:r>
        <w:rPr>
          <w:rFonts w:ascii="Arial"/>
          <w:color w:val="000000"/>
          <w:sz w:val="24"/>
        </w:rPr>
        <w:t>for the design and construction of “high physical support accommodation” at Gosford.</w:t>
      </w:r>
      <w:r>
        <w:rPr>
          <w:rFonts w:ascii="Arial"/>
          <w:color w:val="000000"/>
          <w:sz w:val="24"/>
        </w:rPr>
        <w:t xml:space="preserve"> The development involves the construction of four buildings, each of which is designed to accommodate residents with disabilities. </w:t>
      </w:r>
    </w:p>
    <w:p>
      <w:pPr>
        <w:pStyle w:val="CaselawNormal"/>
        <w:spacing w:before="150" w:after="150"/>
        <w:ind w:left="600"/>
        <w:jc w:val="left"/>
      </w:pPr>
      <w:r>
        <w:rPr>
          <w:rFonts w:ascii="Arial"/>
          <w:color w:val="000000"/>
          <w:sz w:val="24"/>
        </w:rPr>
        <w:t>A dispute arose about two payment claims issued by Black Sheep to Portelli in August 2025 (</w:t>
      </w:r>
      <w:r>
        <w:rPr>
          <w:rFonts w:ascii="Arial"/>
          <w:b/>
          <w:color w:val="000000"/>
          <w:sz w:val="24"/>
        </w:rPr>
        <w:t>PC3</w:t>
      </w:r>
      <w:r>
        <w:rPr>
          <w:rFonts w:ascii="Arial"/>
          <w:color w:val="000000"/>
          <w:sz w:val="24"/>
        </w:rPr>
        <w:t>) and September 2025 (</w:t>
      </w:r>
      <w:r>
        <w:rPr>
          <w:rFonts w:ascii="Arial"/>
          <w:b/>
          <w:color w:val="000000"/>
          <w:sz w:val="24"/>
        </w:rPr>
        <w:t>PC4</w:t>
      </w:r>
      <w:r>
        <w:rPr>
          <w:rFonts w:ascii="Arial"/>
          <w:color w:val="000000"/>
          <w:sz w:val="24"/>
        </w:rPr>
        <w:t xml:space="preserve">), purportedly pursuant to the </w:t>
      </w:r>
      <w:r>
        <w:rPr>
          <w:rFonts w:ascii="Arial"/>
          <w:i/>
          <w:color w:val="000000"/>
          <w:sz w:val="24"/>
        </w:rPr>
        <w:t>Building and Construction Industry Security of Payment Act 1999</w:t>
      </w:r>
      <w:r>
        <w:rPr>
          <w:rFonts w:ascii="Arial"/>
          <w:color w:val="000000"/>
          <w:sz w:val="24"/>
        </w:rPr>
        <w:t xml:space="preserve"> (NSW) (</w:t>
      </w:r>
      <w:r>
        <w:rPr>
          <w:rFonts w:ascii="Arial"/>
          <w:b/>
          <w:color w:val="000000"/>
          <w:sz w:val="24"/>
        </w:rPr>
        <w:t>SOP Act</w:t>
      </w:r>
      <w:r>
        <w:rPr>
          <w:rFonts w:ascii="Arial"/>
          <w:color w:val="000000"/>
          <w:sz w:val="24"/>
        </w:rPr>
        <w:t xml:space="preserve">). Portelli did not pay the full amounts claimed in PC3 and PC4. Nor did it serve a payment schedule in response to either payment claim. Black Sheep brought proceedings in the Supreme Court asserting an entitlement </w:t>
      </w:r>
      <w:r>
        <w:rPr>
          <w:rFonts w:ascii="Arial"/>
          <w:color w:val="000000"/>
          <w:sz w:val="24"/>
        </w:rPr>
        <w:t>to recover the unpaid portions of PC3 and PC4 as a debt due, pursuant to ss 14 and 15(2)(a)(i</w:t>
      </w:r>
      <w:r>
        <w:rPr>
          <w:rFonts w:ascii="Arial"/>
          <w:color w:val="000000"/>
          <w:sz w:val="24"/>
        </w:rPr>
        <w:t xml:space="preserve">) of the </w:t>
      </w:r>
      <w:r>
        <w:rPr>
          <w:rFonts w:ascii="Arial"/>
          <w:color w:val="000000"/>
          <w:sz w:val="24"/>
        </w:rPr>
        <w:t>SOP Act</w:t>
      </w:r>
      <w:r>
        <w:rPr>
          <w:rFonts w:ascii="Arial"/>
          <w:color w:val="000000"/>
          <w:sz w:val="24"/>
        </w:rPr>
        <w:t xml:space="preserve">. Black Sheep sought summary judgment. </w:t>
      </w:r>
      <w:r>
        <w:rPr>
          <w:rFonts w:ascii="Arial"/>
          <w:color w:val="000000"/>
          <w:sz w:val="24"/>
        </w:rPr>
        <w:t>The primary judge was satisfied that no triable issue arose and gave summary judgment in favour of Black Sheep in the sum of $3,822,378.26, comprising the unpaid portions of PC3 and PC4, plus interest.</w:t>
      </w:r>
    </w:p>
    <w:p>
      <w:pPr>
        <w:pStyle w:val="CaselawNormal"/>
        <w:spacing w:before="150" w:after="150"/>
        <w:ind w:left="600"/>
        <w:jc w:val="left"/>
      </w:pPr>
      <w:r>
        <w:rPr>
          <w:rFonts w:ascii="Arial"/>
          <w:color w:val="000000"/>
          <w:sz w:val="24"/>
        </w:rPr>
        <w:t xml:space="preserve">Portelli sought leave to appeal. Its first argument was that there was a triable issue that PC3 and PC4 were not claims properly served on Portelli pursuant to s 13 of the </w:t>
      </w:r>
      <w:r>
        <w:rPr>
          <w:rFonts w:ascii="Arial"/>
          <w:color w:val="000000"/>
          <w:sz w:val="24"/>
        </w:rPr>
        <w:t>SOP Act</w:t>
      </w:r>
      <w:r>
        <w:rPr>
          <w:rFonts w:ascii="Arial"/>
          <w:color w:val="000000"/>
          <w:sz w:val="24"/>
        </w:rPr>
        <w:t xml:space="preserve">, </w:t>
      </w:r>
      <w:r>
        <w:rPr>
          <w:rFonts w:ascii="Arial"/>
          <w:color w:val="000000"/>
          <w:sz w:val="24"/>
        </w:rPr>
        <w:t>so as to</w:t>
      </w:r>
      <w:r>
        <w:rPr>
          <w:rFonts w:ascii="Arial"/>
          <w:color w:val="000000"/>
          <w:sz w:val="24"/>
        </w:rPr>
        <w:t xml:space="preserve"> enliven a liability under s 14(4). Portelli’s primary contention in this regard </w:t>
      </w:r>
      <w:r>
        <w:rPr>
          <w:rFonts w:ascii="Arial"/>
          <w:color w:val="000000"/>
          <w:sz w:val="24"/>
        </w:rPr>
        <w:t>was</w:t>
      </w:r>
      <w:r>
        <w:rPr>
          <w:rFonts w:ascii="Arial"/>
          <w:color w:val="000000"/>
          <w:sz w:val="24"/>
        </w:rPr>
        <w:t xml:space="preserve"> that a payment claim is not validly made and cannot enliven a liability on the part of the recipient unless it has been established as a matter of objective fact, and not merely as a matter of assertion by the claimant, that construction work was carried out within the relevant time period. Portelli also argue</w:t>
      </w:r>
      <w:r>
        <w:rPr>
          <w:rFonts w:ascii="Arial"/>
          <w:color w:val="000000"/>
          <w:sz w:val="24"/>
        </w:rPr>
        <w:t>d</w:t>
      </w:r>
      <w:r>
        <w:rPr>
          <w:rFonts w:ascii="Arial"/>
          <w:color w:val="000000"/>
          <w:sz w:val="24"/>
        </w:rPr>
        <w:t xml:space="preserve"> that PC3 and PC4 were served prematurely, having regard to the permitted times for service of a payment claim under </w:t>
      </w:r>
      <w:r>
        <w:rPr>
          <w:rFonts w:ascii="Arial"/>
          <w:color w:val="000000"/>
          <w:sz w:val="24"/>
        </w:rPr>
        <w:t>subss</w:t>
      </w:r>
      <w:r>
        <w:rPr>
          <w:rFonts w:ascii="Arial"/>
          <w:color w:val="000000"/>
          <w:sz w:val="24"/>
        </w:rPr>
        <w:t xml:space="preserve"> (1A) and (1B) of s 13 of the </w:t>
      </w:r>
      <w:r>
        <w:rPr>
          <w:rFonts w:ascii="Arial"/>
          <w:color w:val="000000"/>
          <w:sz w:val="24"/>
        </w:rPr>
        <w:t>SOP Act</w:t>
      </w:r>
      <w:r>
        <w:rPr>
          <w:rFonts w:ascii="Arial"/>
          <w:color w:val="000000"/>
          <w:sz w:val="24"/>
        </w:rPr>
        <w:t xml:space="preserve">. </w:t>
      </w:r>
    </w:p>
    <w:p>
      <w:pPr>
        <w:pStyle w:val="CaselawNormal"/>
        <w:spacing w:before="150" w:after="150"/>
        <w:ind w:left="600"/>
        <w:jc w:val="left"/>
      </w:pPr>
      <w:r>
        <w:rPr>
          <w:rFonts w:ascii="Arial"/>
          <w:color w:val="000000"/>
          <w:sz w:val="24"/>
        </w:rPr>
        <w:t xml:space="preserve">Portelli’s second argument </w:t>
      </w:r>
      <w:r>
        <w:rPr>
          <w:rFonts w:ascii="Arial"/>
          <w:color w:val="000000"/>
          <w:sz w:val="24"/>
        </w:rPr>
        <w:t>was that</w:t>
      </w:r>
      <w:r>
        <w:rPr>
          <w:rFonts w:ascii="Arial"/>
          <w:color w:val="000000"/>
          <w:sz w:val="24"/>
        </w:rPr>
        <w:t xml:space="preserve">, pursuant to s 8(2) of the </w:t>
      </w:r>
      <w:r>
        <w:rPr>
          <w:rFonts w:ascii="Arial"/>
          <w:color w:val="000000"/>
          <w:sz w:val="24"/>
        </w:rPr>
        <w:t>SOP Act,</w:t>
      </w:r>
      <w:r>
        <w:rPr>
          <w:rFonts w:ascii="Arial"/>
          <w:color w:val="000000"/>
          <w:sz w:val="24"/>
        </w:rPr>
        <w:t xml:space="preserve"> </w:t>
      </w:r>
      <w:r>
        <w:rPr>
          <w:rFonts w:ascii="Arial"/>
          <w:color w:val="000000"/>
          <w:sz w:val="24"/>
        </w:rPr>
        <w:t>Black </w:t>
      </w:r>
      <w:r>
        <w:rPr>
          <w:rFonts w:ascii="Arial"/>
          <w:color w:val="000000"/>
          <w:sz w:val="24"/>
        </w:rPr>
        <w:t xml:space="preserve">Sheep had no entitlement to claim any progress payments under the </w:t>
      </w:r>
      <w:r>
        <w:rPr>
          <w:rFonts w:ascii="Arial"/>
          <w:color w:val="000000"/>
          <w:sz w:val="24"/>
        </w:rPr>
        <w:t>SOP Act</w:t>
      </w:r>
      <w:r>
        <w:rPr>
          <w:rFonts w:ascii="Arial"/>
          <w:i/>
          <w:color w:val="000000"/>
          <w:sz w:val="24"/>
        </w:rPr>
        <w:t xml:space="preserve">, </w:t>
      </w:r>
      <w:r>
        <w:rPr>
          <w:rFonts w:ascii="Arial"/>
          <w:color w:val="000000"/>
          <w:sz w:val="24"/>
        </w:rPr>
        <w:t xml:space="preserve">because the development in question is “residential building work” and Black Sheep had no insurance in place for such work under the </w:t>
      </w:r>
      <w:r>
        <w:rPr>
          <w:rFonts w:ascii="Arial"/>
          <w:i/>
          <w:color w:val="000000"/>
          <w:sz w:val="24"/>
        </w:rPr>
        <w:t>Home Building Act 1989</w:t>
      </w:r>
      <w:r>
        <w:rPr>
          <w:rFonts w:ascii="Arial"/>
          <w:color w:val="000000"/>
          <w:sz w:val="24"/>
        </w:rPr>
        <w:t xml:space="preserve"> (NSW). Portelli’s argument turned on the proposition that the buildings to be constructed (or parts of those buildings) are “dwellings” within the meaning of the </w:t>
      </w:r>
      <w:r>
        <w:rPr>
          <w:rFonts w:ascii="Arial"/>
          <w:i/>
          <w:color w:val="000000"/>
          <w:sz w:val="24"/>
        </w:rPr>
        <w:t>Home Building Act</w:t>
      </w:r>
      <w:r>
        <w:rPr>
          <w:rFonts w:ascii="Arial"/>
          <w:color w:val="000000"/>
          <w:sz w:val="24"/>
        </w:rPr>
        <w:t xml:space="preserve">. It was common ground that the </w:t>
      </w:r>
      <w:r>
        <w:rPr>
          <w:rFonts w:ascii="Arial"/>
          <w:color w:val="000000"/>
          <w:sz w:val="24"/>
        </w:rPr>
        <w:t>buildings in question constitute accommodation specially designed for persons with disability</w:t>
      </w:r>
      <w:r>
        <w:rPr>
          <w:rFonts w:ascii="Arial"/>
          <w:color w:val="000000"/>
          <w:sz w:val="24"/>
        </w:rPr>
        <w:t xml:space="preserve">. Having regard to cl 3(3)(d) of Sch 1 to the </w:t>
      </w:r>
      <w:r>
        <w:rPr>
          <w:rFonts w:ascii="Arial"/>
          <w:i/>
          <w:color w:val="000000"/>
          <w:sz w:val="24"/>
        </w:rPr>
        <w:t>Home Building Act</w:t>
      </w:r>
      <w:r>
        <w:rPr>
          <w:rFonts w:ascii="Arial"/>
          <w:color w:val="000000"/>
          <w:sz w:val="24"/>
        </w:rPr>
        <w:t xml:space="preserve">, the decisive issue in applying the definition of “dwellings” </w:t>
      </w:r>
      <w:r>
        <w:rPr>
          <w:rFonts w:ascii="Arial"/>
          <w:color w:val="000000"/>
          <w:sz w:val="24"/>
        </w:rPr>
        <w:t>then became</w:t>
      </w:r>
      <w:r>
        <w:rPr>
          <w:rFonts w:ascii="Arial"/>
          <w:color w:val="000000"/>
          <w:sz w:val="24"/>
        </w:rPr>
        <w:t xml:space="preserve"> whether the accommodation takes </w:t>
      </w:r>
      <w:r>
        <w:rPr>
          <w:rFonts w:ascii="Arial"/>
          <w:color w:val="000000"/>
          <w:sz w:val="24"/>
        </w:rPr>
        <w:t>the form of “self-contained units”.</w:t>
      </w:r>
    </w:p>
    <w:p>
      <w:pPr>
        <w:pStyle w:val="CaselawNormal"/>
        <w:spacing w:before="150" w:after="150"/>
        <w:ind w:left="600"/>
        <w:jc w:val="left"/>
      </w:pPr>
      <w:r>
        <w:rPr>
          <w:rFonts w:ascii="Arial"/>
          <w:b/>
          <w:color w:val="000000"/>
          <w:sz w:val="24"/>
        </w:rPr>
        <w:t>The Court held</w:t>
      </w:r>
      <w:r>
        <w:rPr>
          <w:rFonts w:ascii="Arial"/>
          <w:color w:val="000000"/>
          <w:sz w:val="24"/>
        </w:rPr>
        <w:t xml:space="preserve"> (Free JA, Ward P and Griffiths AJA agreeing), </w:t>
      </w:r>
      <w:r>
        <w:rPr>
          <w:rFonts w:ascii="Arial"/>
          <w:b/>
          <w:color w:val="000000"/>
          <w:sz w:val="24"/>
        </w:rPr>
        <w:t>granting leave to appeal but dismissing the appeal:</w:t>
      </w:r>
    </w:p>
    <w:p>
      <w:pPr>
        <w:pStyle w:val="CaselawNormal"/>
        <w:spacing w:before="150" w:after="150"/>
        <w:ind w:left="600"/>
        <w:jc w:val="left"/>
      </w:pPr>
      <w:r>
        <w:rPr>
          <w:rFonts w:ascii="Arial"/>
          <w:i/>
          <w:color w:val="000000"/>
          <w:sz w:val="24"/>
        </w:rPr>
        <w:t xml:space="preserve">As to the validity of service and the statutory liability arising from </w:t>
      </w:r>
      <w:r>
        <w:rPr>
          <w:rFonts w:ascii="Arial"/>
          <w:i/>
          <w:color w:val="000000"/>
          <w:sz w:val="24"/>
        </w:rPr>
        <w:t>the payment claims</w:t>
      </w:r>
    </w:p>
    <w:p>
      <w:pPr>
        <w:pStyle w:val="CaselawNormal"/>
        <w:spacing w:before="150" w:after="150"/>
        <w:ind w:left="600"/>
        <w:jc w:val="left"/>
      </w:pPr>
      <w:r>
        <w:rPr>
          <w:rFonts w:ascii="Arial"/>
          <w:color w:val="000000"/>
          <w:sz w:val="24"/>
        </w:rPr>
        <w:t xml:space="preserve">1. The essence of a payment claim under the statutory scheme is that it is based on what the issuing party “claims” to be entitled to. There is no room to construe the </w:t>
      </w:r>
      <w:r>
        <w:rPr>
          <w:rFonts w:ascii="Arial"/>
          <w:color w:val="000000"/>
          <w:sz w:val="24"/>
        </w:rPr>
        <w:t>SOP Act</w:t>
      </w:r>
      <w:r>
        <w:rPr>
          <w:rFonts w:ascii="Arial"/>
          <w:i/>
          <w:color w:val="000000"/>
          <w:sz w:val="24"/>
        </w:rPr>
        <w:t xml:space="preserve"> </w:t>
      </w:r>
      <w:r>
        <w:rPr>
          <w:rFonts w:ascii="Arial"/>
          <w:color w:val="000000"/>
          <w:sz w:val="24"/>
        </w:rPr>
        <w:t>as requiring that, as a precondition to the entitlement to payment created by the Act, the claimant must establish as a matter of objective fact that</w:t>
      </w:r>
      <w:r>
        <w:rPr>
          <w:rFonts w:ascii="Arial"/>
          <w:color w:val="000000"/>
          <w:sz w:val="24"/>
        </w:rPr>
        <w:t xml:space="preserve"> the work </w:t>
      </w:r>
      <w:r>
        <w:rPr>
          <w:rFonts w:ascii="Arial"/>
          <w:color w:val="000000"/>
          <w:sz w:val="24"/>
        </w:rPr>
        <w:t>was performed</w:t>
      </w:r>
      <w:r>
        <w:rPr>
          <w:rFonts w:ascii="Arial"/>
          <w:color w:val="000000"/>
          <w:sz w:val="24"/>
        </w:rPr>
        <w:t xml:space="preserve">. </w:t>
      </w:r>
      <w:r>
        <w:rPr>
          <w:rFonts w:ascii="Arial"/>
          <w:color w:val="000000"/>
          <w:sz w:val="24"/>
        </w:rPr>
        <w:t>Such a</w:t>
      </w:r>
      <w:r>
        <w:rPr>
          <w:rFonts w:ascii="Arial"/>
          <w:color w:val="000000"/>
          <w:sz w:val="24"/>
        </w:rPr>
        <w:t xml:space="preserve"> </w:t>
      </w:r>
      <w:r>
        <w:rPr>
          <w:rFonts w:ascii="Arial"/>
          <w:color w:val="000000"/>
          <w:sz w:val="24"/>
        </w:rPr>
        <w:t>requirement</w:t>
      </w:r>
      <w:r>
        <w:rPr>
          <w:rFonts w:ascii="Arial"/>
          <w:color w:val="000000"/>
          <w:sz w:val="24"/>
        </w:rPr>
        <w:t xml:space="preserve"> would be contrary to the plain words of the Act and the scheme that it creates. If the recipient of a payment claim wishes to resist payment, it should serve a payment schedule and </w:t>
      </w:r>
      <w:r>
        <w:rPr>
          <w:rFonts w:ascii="Arial"/>
          <w:color w:val="000000"/>
          <w:sz w:val="24"/>
        </w:rPr>
        <w:t>engage the statutory process for adjudication of disputes. If the recipient neglects to do so, the statutory consequence is that a liability to pay arises</w:t>
      </w:r>
      <w:r>
        <w:rPr>
          <w:rFonts w:ascii="Arial"/>
          <w:color w:val="000000"/>
          <w:sz w:val="24"/>
        </w:rPr>
        <w:t xml:space="preserve">: </w:t>
      </w:r>
      <w:r>
        <w:rPr>
          <w:rFonts w:ascii="Arial"/>
          <w:color w:val="000000"/>
          <w:sz w:val="24"/>
        </w:rPr>
        <w:t>[48]-[54].</w:t>
      </w:r>
    </w:p>
    <w:p>
      <w:pPr>
        <w:pStyle w:val="CaselawNormal"/>
        <w:spacing w:before="150" w:after="150"/>
        <w:ind w:left="1350"/>
        <w:jc w:val="left"/>
      </w:pPr>
      <w:r>
        <w:rPr>
          <w:rFonts w:ascii="Arial"/>
          <w:i/>
          <w:color w:val="000000"/>
          <w:sz w:val="24"/>
        </w:rPr>
        <w:t>Manariti</w:t>
      </w:r>
      <w:r>
        <w:rPr>
          <w:rFonts w:ascii="Arial"/>
          <w:i/>
          <w:color w:val="000000"/>
          <w:sz w:val="24"/>
        </w:rPr>
        <w:t xml:space="preserve"> Plumbing Pty Ltd v Universal Property Group Pty Ltd</w:t>
      </w:r>
      <w:r>
        <w:rPr>
          <w:rFonts w:ascii="Arial"/>
          <w:color w:val="000000"/>
          <w:sz w:val="24"/>
        </w:rPr>
        <w:t xml:space="preserve"> [2025] NSWCA 135</w:t>
      </w:r>
      <w:r>
        <w:rPr>
          <w:rFonts w:ascii="Arial"/>
          <w:color w:val="000000"/>
          <w:sz w:val="24"/>
        </w:rPr>
        <w:t>, applied.</w:t>
      </w:r>
    </w:p>
    <w:p>
      <w:pPr>
        <w:pStyle w:val="CaselawNormal"/>
        <w:spacing w:before="150" w:after="150"/>
        <w:ind w:left="600"/>
        <w:jc w:val="left"/>
      </w:pPr>
      <w:r>
        <w:rPr>
          <w:rFonts w:ascii="Arial"/>
          <w:color w:val="000000"/>
          <w:sz w:val="24"/>
        </w:rPr>
        <w:t xml:space="preserve">2. PC3 and PC4 were not served prematurely. Under s 13 of the SOP Act, applied by reference to the Contract, Black Sheep was permitted to serve those payment claims when it did. </w:t>
      </w:r>
      <w:r>
        <w:rPr>
          <w:rFonts w:ascii="Arial"/>
          <w:color w:val="000000"/>
          <w:sz w:val="24"/>
        </w:rPr>
        <w:t>By a special condition in Sch 6, the</w:t>
      </w:r>
      <w:r>
        <w:rPr>
          <w:rFonts w:ascii="Arial"/>
          <w:color w:val="000000"/>
          <w:sz w:val="24"/>
        </w:rPr>
        <w:t xml:space="preserve"> Contract </w:t>
      </w:r>
      <w:r>
        <w:rPr>
          <w:rFonts w:ascii="Arial"/>
          <w:color w:val="000000"/>
          <w:sz w:val="24"/>
        </w:rPr>
        <w:t>made provision for a payment claim to be served on the 21</w:t>
      </w:r>
      <w:r>
        <w:rPr>
          <w:rFonts w:ascii="Arial"/>
          <w:color w:val="000000"/>
          <w:sz w:val="24"/>
        </w:rPr>
        <w:t>st</w:t>
      </w:r>
      <w:r>
        <w:rPr>
          <w:rFonts w:ascii="Arial"/>
          <w:color w:val="000000"/>
          <w:sz w:val="24"/>
        </w:rPr>
        <w:t xml:space="preserve"> day of each month. The fact that this contractual arrangement was conditional upon Portelli choosing to use a quantity surveyor does not affect that conclusion. Both conditional and unconditional contractual provisions can serve to identify the </w:t>
      </w:r>
      <w:r>
        <w:rPr>
          <w:rFonts w:ascii="Arial"/>
          <w:color w:val="000000"/>
          <w:sz w:val="24"/>
        </w:rPr>
        <w:t>permitted date</w:t>
      </w:r>
      <w:r>
        <w:rPr>
          <w:rFonts w:ascii="Arial"/>
          <w:color w:val="000000"/>
          <w:sz w:val="24"/>
        </w:rPr>
        <w:t xml:space="preserve"> on and after which payment claims can be served</w:t>
      </w:r>
      <w:r>
        <w:rPr>
          <w:rFonts w:ascii="Arial"/>
          <w:color w:val="000000"/>
          <w:sz w:val="24"/>
        </w:rPr>
        <w:t>.</w:t>
      </w:r>
    </w:p>
    <w:p>
      <w:pPr>
        <w:pStyle w:val="CaselawNormal"/>
        <w:spacing w:before="150" w:after="150"/>
        <w:ind w:left="600"/>
        <w:jc w:val="left"/>
      </w:pPr>
      <w:r>
        <w:rPr>
          <w:rFonts w:ascii="Arial"/>
          <w:color w:val="000000"/>
          <w:sz w:val="24"/>
        </w:rPr>
        <w:t>3. Black Sheep was entitled to serve a payment claim on 21 August 2025 in respect of work in July and work in August up to the date of the payment claim. It was equally entitled to serve a payment claim on 22 September 2025 in respect of work spanning the period from 22 August 2025 to 21 September 2025</w:t>
      </w:r>
      <w:r>
        <w:rPr>
          <w:rFonts w:ascii="Arial"/>
          <w:color w:val="000000"/>
          <w:sz w:val="24"/>
        </w:rPr>
        <w:t xml:space="preserve">: </w:t>
      </w:r>
      <w:r>
        <w:rPr>
          <w:rFonts w:ascii="Arial"/>
          <w:color w:val="000000"/>
          <w:sz w:val="24"/>
        </w:rPr>
        <w:t>[55]-[70]</w:t>
      </w:r>
    </w:p>
    <w:p>
      <w:pPr>
        <w:pStyle w:val="CaselawNormal"/>
        <w:spacing w:before="150" w:after="150"/>
        <w:ind w:left="600"/>
        <w:jc w:val="left"/>
      </w:pPr>
      <w:r>
        <w:rPr>
          <w:rFonts w:ascii="Arial"/>
          <w:i/>
          <w:color w:val="000000"/>
          <w:sz w:val="24"/>
        </w:rPr>
        <w:t>As to whether the accommodation takes the form of “self-contained units”</w:t>
      </w:r>
      <w:r>
        <w:rPr>
          <w:rFonts w:ascii="Arial"/>
          <w:i/>
          <w:color w:val="000000"/>
          <w:sz w:val="24"/>
        </w:rPr>
        <w:t xml:space="preserve"> </w:t>
      </w:r>
    </w:p>
    <w:p>
      <w:pPr>
        <w:pStyle w:val="CaselawNormal"/>
        <w:spacing w:before="150" w:after="150"/>
        <w:ind w:left="600"/>
        <w:jc w:val="left"/>
      </w:pPr>
      <w:r>
        <w:rPr>
          <w:rFonts w:ascii="Arial"/>
          <w:color w:val="000000"/>
          <w:sz w:val="24"/>
        </w:rPr>
        <w:t>4</w:t>
      </w:r>
      <w:r>
        <w:rPr>
          <w:rFonts w:ascii="Arial"/>
          <w:color w:val="000000"/>
          <w:sz w:val="24"/>
        </w:rPr>
        <w:t xml:space="preserve">. </w:t>
      </w:r>
      <w:r>
        <w:rPr>
          <w:rFonts w:ascii="Arial"/>
          <w:color w:val="000000"/>
          <w:sz w:val="24"/>
        </w:rPr>
        <w:t>There is no serious triable issue in relation to</w:t>
      </w:r>
      <w:r>
        <w:rPr>
          <w:rFonts w:ascii="Arial"/>
          <w:color w:val="000000"/>
          <w:sz w:val="24"/>
        </w:rPr>
        <w:t xml:space="preserve"> Portelli’s argument that the accommodation </w:t>
      </w:r>
      <w:r>
        <w:rPr>
          <w:rFonts w:ascii="Arial"/>
          <w:color w:val="000000"/>
          <w:sz w:val="24"/>
        </w:rPr>
        <w:t>being constructed is or contains</w:t>
      </w:r>
      <w:r>
        <w:rPr>
          <w:rFonts w:ascii="Arial"/>
          <w:color w:val="000000"/>
          <w:sz w:val="24"/>
        </w:rPr>
        <w:t xml:space="preserve"> “self-contained units”</w:t>
      </w:r>
      <w:r>
        <w:rPr>
          <w:rFonts w:ascii="Arial"/>
          <w:color w:val="000000"/>
          <w:sz w:val="24"/>
        </w:rPr>
        <w:t>,</w:t>
      </w:r>
      <w:r>
        <w:rPr>
          <w:rFonts w:ascii="Arial"/>
          <w:color w:val="000000"/>
          <w:sz w:val="24"/>
        </w:rPr>
        <w:t xml:space="preserve"> such that Black Sheep required relevant insur</w:t>
      </w:r>
      <w:r>
        <w:rPr>
          <w:rFonts w:ascii="Arial"/>
          <w:color w:val="000000"/>
          <w:sz w:val="24"/>
        </w:rPr>
        <w:t>ance</w:t>
      </w:r>
      <w:r>
        <w:rPr>
          <w:rFonts w:ascii="Arial"/>
          <w:color w:val="000000"/>
          <w:sz w:val="24"/>
        </w:rPr>
        <w:t xml:space="preserve"> under the </w:t>
      </w:r>
      <w:r>
        <w:rPr>
          <w:rFonts w:ascii="Arial"/>
          <w:i/>
          <w:color w:val="000000"/>
          <w:sz w:val="24"/>
        </w:rPr>
        <w:t>Home Building Act</w:t>
      </w:r>
      <w:r>
        <w:rPr>
          <w:rFonts w:ascii="Arial"/>
          <w:color w:val="000000"/>
          <w:sz w:val="24"/>
        </w:rPr>
        <w:t xml:space="preserve">. Portelli’s characterisation of the accommodation is highly improbable and involves a construction of cl 3(3)(d) of Sch 1 that is impossible to reconcile with the statutory context. On Portelli’s approach, the label of “self-contained units” </w:t>
      </w:r>
      <w:r>
        <w:rPr>
          <w:rFonts w:ascii="Arial"/>
          <w:color w:val="000000"/>
          <w:sz w:val="24"/>
        </w:rPr>
        <w:t>would</w:t>
      </w:r>
      <w:r>
        <w:rPr>
          <w:rFonts w:ascii="Arial"/>
          <w:color w:val="000000"/>
          <w:sz w:val="24"/>
        </w:rPr>
        <w:t xml:space="preserve"> apply to all, or practically all, accommodation specially designed for persons with a disability. The exception to the exclusion would thereby be given such a broad operation as to devour the exclusion itself, undermining the purpose of the clause: </w:t>
      </w:r>
      <w:r>
        <w:rPr>
          <w:rFonts w:ascii="Arial"/>
          <w:color w:val="000000"/>
          <w:sz w:val="24"/>
        </w:rPr>
        <w:t>[71]-[80]</w:t>
      </w:r>
    </w:p>
    <w:p>
      <w:pPr>
        <w:pStyle w:val="CaselawNormal"/>
        <w:spacing w:before="150" w:after="150"/>
        <w:ind w:left="600"/>
        <w:jc w:val="left"/>
      </w:pPr>
      <w:r>
        <w:rPr>
          <w:rFonts w:ascii="Arial"/>
          <w:color w:val="000000"/>
          <w:sz w:val="24"/>
        </w:rPr>
        <w:t>5.</w:t>
      </w:r>
      <w:r>
        <w:rPr>
          <w:rFonts w:ascii="Arial"/>
          <w:color w:val="000000"/>
          <w:sz w:val="24"/>
        </w:rPr>
        <w:t xml:space="preserve"> </w:t>
      </w:r>
      <w:r>
        <w:rPr>
          <w:rFonts w:ascii="Arial"/>
          <w:color w:val="000000"/>
          <w:sz w:val="24"/>
        </w:rPr>
        <w:t>Portelli</w:t>
      </w:r>
      <w:r>
        <w:rPr>
          <w:rFonts w:ascii="Arial"/>
          <w:color w:val="000000"/>
          <w:sz w:val="24"/>
        </w:rPr>
        <w:t xml:space="preserve">’s contention that it might be possible to </w:t>
      </w:r>
      <w:r>
        <w:rPr>
          <w:rFonts w:ascii="Arial"/>
          <w:color w:val="000000"/>
          <w:sz w:val="24"/>
        </w:rPr>
        <w:t>adduce</w:t>
      </w:r>
      <w:r>
        <w:rPr>
          <w:rFonts w:ascii="Arial"/>
          <w:color w:val="000000"/>
          <w:sz w:val="24"/>
        </w:rPr>
        <w:t xml:space="preserve"> favourable expert evidence bearing on the trade meaning of “self-contained unit” </w:t>
      </w:r>
      <w:r>
        <w:rPr>
          <w:rFonts w:ascii="Arial"/>
          <w:color w:val="000000"/>
          <w:sz w:val="24"/>
        </w:rPr>
        <w:t>was speculative</w:t>
      </w:r>
      <w:r>
        <w:rPr>
          <w:rFonts w:ascii="Arial"/>
          <w:color w:val="000000"/>
          <w:sz w:val="24"/>
        </w:rPr>
        <w:t xml:space="preserve">. </w:t>
      </w:r>
      <w:r>
        <w:rPr>
          <w:rFonts w:ascii="Arial"/>
          <w:color w:val="000000"/>
          <w:sz w:val="24"/>
        </w:rPr>
        <w:t>No</w:t>
      </w:r>
      <w:r>
        <w:rPr>
          <w:rFonts w:ascii="Arial"/>
          <w:color w:val="000000"/>
          <w:sz w:val="24"/>
        </w:rPr>
        <w:t xml:space="preserve"> serious or substantial question of fact</w:t>
      </w:r>
      <w:r>
        <w:rPr>
          <w:rFonts w:ascii="Arial"/>
          <w:color w:val="000000"/>
          <w:sz w:val="24"/>
        </w:rPr>
        <w:t>, of the kind that would make summary judgment inappropriate, arises.</w:t>
      </w:r>
      <w:r>
        <w:rPr>
          <w:rFonts w:ascii="Arial"/>
          <w:color w:val="000000"/>
          <w:sz w:val="24"/>
        </w:rPr>
        <w:t xml:space="preserve"> Even if </w:t>
      </w:r>
      <w:r>
        <w:rPr>
          <w:rFonts w:ascii="Arial"/>
          <w:color w:val="000000"/>
          <w:sz w:val="24"/>
        </w:rPr>
        <w:t>Portelli could obtain</w:t>
      </w:r>
      <w:r>
        <w:rPr>
          <w:rFonts w:ascii="Arial"/>
          <w:color w:val="000000"/>
          <w:sz w:val="24"/>
        </w:rPr>
        <w:t xml:space="preserve"> expert evidence in support of </w:t>
      </w:r>
      <w:r>
        <w:rPr>
          <w:rFonts w:ascii="Arial"/>
          <w:color w:val="000000"/>
          <w:sz w:val="24"/>
        </w:rPr>
        <w:t>its preferred meaning of “self-contained units”, such a</w:t>
      </w:r>
      <w:r>
        <w:rPr>
          <w:rFonts w:ascii="Arial"/>
          <w:color w:val="000000"/>
          <w:sz w:val="24"/>
        </w:rPr>
        <w:t xml:space="preserve"> construction </w:t>
      </w:r>
      <w:r>
        <w:rPr>
          <w:rFonts w:ascii="Arial"/>
          <w:color w:val="000000"/>
          <w:sz w:val="24"/>
        </w:rPr>
        <w:t>would</w:t>
      </w:r>
      <w:r>
        <w:rPr>
          <w:rFonts w:ascii="Arial"/>
          <w:color w:val="000000"/>
          <w:sz w:val="24"/>
        </w:rPr>
        <w:t xml:space="preserve"> be </w:t>
      </w:r>
      <w:r>
        <w:rPr>
          <w:rFonts w:ascii="Arial"/>
          <w:color w:val="000000"/>
          <w:sz w:val="24"/>
        </w:rPr>
        <w:t>impossible to reconcile with the statutory context:</w:t>
      </w:r>
      <w:r>
        <w:rPr>
          <w:rFonts w:ascii="Arial"/>
          <w:color w:val="000000"/>
          <w:sz w:val="24"/>
        </w:rPr>
        <w:t xml:space="preserve"> </w:t>
      </w:r>
      <w:r>
        <w:rPr>
          <w:rFonts w:ascii="Arial"/>
          <w:color w:val="000000"/>
          <w:sz w:val="24"/>
        </w:rPr>
        <w:t>[81]-[87].</w:t>
      </w:r>
    </w:p>
    <w:p>
      <w:pPr>
        <w:pStyle w:val="CaselawNormal"/>
        <w:spacing w:before="150" w:after="150"/>
        <w:ind w:left="1350"/>
        <w:jc w:val="left"/>
      </w:pPr>
      <w:r>
        <w:rPr>
          <w:rFonts w:ascii="Arial"/>
          <w:i/>
          <w:color w:val="000000"/>
          <w:sz w:val="24"/>
        </w:rPr>
        <w:t>General Accident Fire &amp; Life Assurance Corporation</w:t>
      </w:r>
      <w:r>
        <w:rPr>
          <w:rFonts w:ascii="Arial"/>
          <w:i/>
          <w:color w:val="000000"/>
          <w:sz w:val="24"/>
        </w:rPr>
        <w:t xml:space="preserve"> Ltd v Commissioner of Pay-roll Tax</w:t>
      </w:r>
      <w:r>
        <w:rPr>
          <w:rFonts w:ascii="Arial"/>
          <w:color w:val="000000"/>
          <w:sz w:val="24"/>
        </w:rPr>
        <w:t xml:space="preserve"> [1982] 2 NSWLR 52, </w:t>
      </w:r>
      <w:r>
        <w:rPr>
          <w:rFonts w:ascii="Arial"/>
          <w:i/>
          <w:color w:val="000000"/>
          <w:sz w:val="24"/>
        </w:rPr>
        <w:t>Sidebottom v Cureton</w:t>
      </w:r>
      <w:r>
        <w:rPr>
          <w:rFonts w:ascii="Arial"/>
          <w:color w:val="000000"/>
          <w:sz w:val="24"/>
        </w:rPr>
        <w:t xml:space="preserve"> (1937) 54 WN (NSW) 88, </w:t>
      </w:r>
      <w:r>
        <w:rPr>
          <w:rFonts w:ascii="Arial"/>
          <w:i/>
          <w:color w:val="000000"/>
          <w:sz w:val="24"/>
        </w:rPr>
        <w:t>Sharp v Glasser</w:t>
      </w:r>
      <w:r>
        <w:rPr>
          <w:rFonts w:ascii="Arial"/>
          <w:color w:val="000000"/>
          <w:sz w:val="24"/>
        </w:rPr>
        <w:t> (1946) 46 SR (NSW) 379</w:t>
      </w:r>
      <w:r>
        <w:rPr>
          <w:rFonts w:ascii="Arial"/>
          <w:color w:val="000000"/>
          <w:sz w:val="24"/>
        </w:rPr>
        <w:t xml:space="preserve">, </w:t>
      </w:r>
      <w:r>
        <w:rPr>
          <w:rFonts w:ascii="Arial"/>
          <w:i/>
          <w:color w:val="000000"/>
          <w:sz w:val="24"/>
        </w:rPr>
        <w:t>Rowston</w:t>
      </w:r>
      <w:r>
        <w:rPr>
          <w:rFonts w:ascii="Arial"/>
          <w:i/>
          <w:color w:val="000000"/>
          <w:sz w:val="24"/>
        </w:rPr>
        <w:t xml:space="preserve"> v Sydney County Council</w:t>
      </w:r>
      <w:r>
        <w:rPr>
          <w:rFonts w:ascii="Arial"/>
          <w:color w:val="000000"/>
          <w:sz w:val="24"/>
        </w:rPr>
        <w:t xml:space="preserve"> (1954) 92 CLR 605; [1954] HCA 66</w:t>
      </w:r>
      <w:r>
        <w:rPr>
          <w:rFonts w:ascii="Arial"/>
          <w:color w:val="000000"/>
          <w:sz w:val="24"/>
        </w:rPr>
        <w:t>, applied.</w:t>
      </w:r>
    </w:p>
    <w:p>
      <w:pPr>
        <w:pStyle w:val="CaselawHeading1"/>
        <w:keepNext/>
        <w:spacing w:before="150" w:after="150" w:line="264"/>
        <w:ind w:left="0"/>
        <w:jc w:val="left"/>
      </w:pPr>
      <w:r>
        <w:rPr>
          <w:rFonts w:ascii="Arial"/>
        </w:rPr>
        <w:t>JUDGMENT</w:t>
      </w:r>
    </w:p>
    <w:p>
      <w:pPr>
        <w:pStyle w:val="CaselawNumbered10"/>
        <w:numPr>
          <w:ilvl w:val="0"/>
          <w:numId w:val="22"/>
        </w:numPr>
        <w:spacing w:before="150" w:after="0"/>
        <w:ind w:left="600" w:hanging="600"/>
      </w:pPr>
      <w:r>
        <w:rPr>
          <w:rFonts w:ascii="Arial"/>
          <w:b/>
          <w:color w:val="000000"/>
          <w:sz w:val="24"/>
        </w:rPr>
        <w:t xml:space="preserve">WARD P: </w:t>
      </w:r>
      <w:r>
        <w:rPr>
          <w:rFonts w:ascii="Arial"/>
          <w:color w:val="000000"/>
          <w:sz w:val="24"/>
        </w:rPr>
        <w:t>I agree with Free JA.</w:t>
      </w:r>
    </w:p>
    <w:p>
      <w:pPr>
        <w:pStyle w:val="CaselawNumbered10"/>
        <w:numPr>
          <w:ilvl w:val="0"/>
          <w:numId w:val="22"/>
        </w:numPr>
        <w:spacing w:before="150" w:after="0"/>
        <w:ind w:left="600" w:hanging="600"/>
      </w:pPr>
      <w:r>
        <w:rPr>
          <w:rFonts w:ascii="Arial"/>
          <w:b/>
          <w:color w:val="000000"/>
          <w:sz w:val="24"/>
        </w:rPr>
        <w:t xml:space="preserve">FREE JA: </w:t>
      </w:r>
      <w:r>
        <w:rPr>
          <w:rFonts w:ascii="Arial"/>
          <w:color w:val="000000"/>
          <w:sz w:val="24"/>
        </w:rPr>
        <w:t xml:space="preserve">The applicant, A J Portelli Medical Pty Ltd </w:t>
      </w:r>
      <w:r>
        <w:rPr>
          <w:rFonts w:ascii="Arial"/>
          <w:color w:val="000000"/>
          <w:sz w:val="24"/>
        </w:rPr>
        <w:t>atf</w:t>
      </w:r>
      <w:r>
        <w:rPr>
          <w:rFonts w:ascii="Arial"/>
          <w:color w:val="000000"/>
          <w:sz w:val="24"/>
        </w:rPr>
        <w:t xml:space="preserve"> </w:t>
      </w:r>
      <w:r>
        <w:rPr>
          <w:rFonts w:ascii="Arial"/>
          <w:color w:val="000000"/>
          <w:sz w:val="24"/>
        </w:rPr>
        <w:t>A J Portelli Medical Trust (</w:t>
      </w:r>
      <w:r>
        <w:rPr>
          <w:rFonts w:ascii="Arial"/>
          <w:b/>
          <w:color w:val="000000"/>
          <w:sz w:val="24"/>
        </w:rPr>
        <w:t>Portelli</w:t>
      </w:r>
      <w:r>
        <w:rPr>
          <w:rFonts w:ascii="Arial"/>
          <w:color w:val="000000"/>
          <w:sz w:val="24"/>
        </w:rPr>
        <w:t xml:space="preserve">), is party to a contract </w:t>
      </w:r>
      <w:r>
        <w:rPr>
          <w:rFonts w:ascii="Arial"/>
          <w:color w:val="000000"/>
          <w:sz w:val="24"/>
        </w:rPr>
        <w:t>(</w:t>
      </w:r>
      <w:r>
        <w:rPr>
          <w:rFonts w:ascii="Arial"/>
          <w:b/>
          <w:color w:val="000000"/>
          <w:sz w:val="24"/>
        </w:rPr>
        <w:t>Contract</w:t>
      </w:r>
      <w:r>
        <w:rPr>
          <w:rFonts w:ascii="Arial"/>
          <w:color w:val="000000"/>
          <w:sz w:val="24"/>
        </w:rPr>
        <w:t xml:space="preserve">) </w:t>
      </w:r>
      <w:r>
        <w:rPr>
          <w:rFonts w:ascii="Arial"/>
          <w:color w:val="000000"/>
          <w:sz w:val="24"/>
        </w:rPr>
        <w:t>with the respondent,</w:t>
      </w:r>
      <w:r>
        <w:rPr>
          <w:rFonts w:ascii="Arial"/>
          <w:b/>
          <w:color w:val="000000"/>
          <w:sz w:val="24"/>
        </w:rPr>
        <w:t xml:space="preserve"> </w:t>
      </w:r>
      <w:r>
        <w:rPr>
          <w:rFonts w:ascii="Arial"/>
          <w:color w:val="000000"/>
          <w:sz w:val="24"/>
        </w:rPr>
        <w:t>Black</w:t>
      </w:r>
      <w:r>
        <w:rPr>
          <w:rFonts w:ascii="Arial"/>
          <w:color w:val="000000"/>
          <w:sz w:val="24"/>
        </w:rPr>
        <w:t> </w:t>
      </w:r>
      <w:r>
        <w:rPr>
          <w:rFonts w:ascii="Arial"/>
          <w:color w:val="000000"/>
          <w:sz w:val="24"/>
        </w:rPr>
        <w:t>Sheep Building Pty Ltd (</w:t>
      </w:r>
      <w:r>
        <w:rPr>
          <w:rFonts w:ascii="Arial"/>
          <w:b/>
          <w:color w:val="000000"/>
          <w:sz w:val="24"/>
        </w:rPr>
        <w:t>Black Sheep</w:t>
      </w:r>
      <w:r>
        <w:rPr>
          <w:rFonts w:ascii="Arial"/>
          <w:color w:val="000000"/>
          <w:sz w:val="24"/>
        </w:rPr>
        <w:t xml:space="preserve">), for the design and construction </w:t>
      </w:r>
      <w:r>
        <w:rPr>
          <w:rFonts w:ascii="Arial"/>
          <w:color w:val="000000"/>
          <w:sz w:val="24"/>
        </w:rPr>
        <w:t xml:space="preserve">of </w:t>
      </w:r>
      <w:r>
        <w:rPr>
          <w:rFonts w:ascii="Arial"/>
          <w:color w:val="000000"/>
          <w:sz w:val="24"/>
        </w:rPr>
        <w:t>“</w:t>
      </w:r>
      <w:r>
        <w:rPr>
          <w:rFonts w:ascii="Arial"/>
          <w:color w:val="000000"/>
          <w:sz w:val="24"/>
        </w:rPr>
        <w:t>high physical support accommodation</w:t>
      </w:r>
      <w:r>
        <w:rPr>
          <w:rFonts w:ascii="Arial"/>
          <w:color w:val="000000"/>
          <w:sz w:val="24"/>
        </w:rPr>
        <w:t xml:space="preserve">” </w:t>
      </w:r>
      <w:r>
        <w:rPr>
          <w:rFonts w:ascii="Arial"/>
          <w:color w:val="000000"/>
          <w:sz w:val="24"/>
        </w:rPr>
        <w:t>at Gosford</w:t>
      </w:r>
      <w:r>
        <w:rPr>
          <w:rFonts w:ascii="Arial"/>
          <w:color w:val="000000"/>
          <w:sz w:val="24"/>
        </w:rPr>
        <w:t xml:space="preserve">. The development involves the construction of </w:t>
      </w:r>
      <w:r>
        <w:rPr>
          <w:rFonts w:ascii="Arial"/>
          <w:color w:val="000000"/>
          <w:sz w:val="24"/>
        </w:rPr>
        <w:t>four buildings</w:t>
      </w:r>
      <w:r>
        <w:rPr>
          <w:rFonts w:ascii="Arial"/>
          <w:color w:val="000000"/>
          <w:sz w:val="24"/>
        </w:rPr>
        <w:t>, each of which is</w:t>
      </w:r>
      <w:r>
        <w:rPr>
          <w:rFonts w:ascii="Arial"/>
          <w:color w:val="000000"/>
          <w:sz w:val="24"/>
        </w:rPr>
        <w:t xml:space="preserve"> </w:t>
      </w:r>
      <w:r>
        <w:rPr>
          <w:rFonts w:ascii="Arial"/>
          <w:color w:val="000000"/>
          <w:sz w:val="24"/>
        </w:rPr>
        <w:t>designed to accommodate residents</w:t>
      </w:r>
      <w:r>
        <w:rPr>
          <w:rFonts w:ascii="Arial"/>
          <w:color w:val="000000"/>
          <w:sz w:val="24"/>
        </w:rPr>
        <w:t xml:space="preserve"> </w:t>
      </w:r>
      <w:r>
        <w:rPr>
          <w:rFonts w:ascii="Arial"/>
          <w:color w:val="000000"/>
          <w:sz w:val="24"/>
        </w:rPr>
        <w:t>with disabilities</w:t>
      </w:r>
      <w:r>
        <w:rPr>
          <w:rFonts w:ascii="Arial"/>
          <w:color w:val="000000"/>
          <w:sz w:val="24"/>
        </w:rPr>
        <w:t xml:space="preserve">. The Contract is a </w:t>
      </w:r>
      <w:r>
        <w:rPr>
          <w:rFonts w:ascii="Arial"/>
          <w:color w:val="000000"/>
          <w:sz w:val="24"/>
        </w:rPr>
        <w:t>“</w:t>
      </w:r>
      <w:r>
        <w:rPr>
          <w:rFonts w:ascii="Arial"/>
          <w:color w:val="000000"/>
          <w:sz w:val="24"/>
        </w:rPr>
        <w:t>construction contract</w:t>
      </w:r>
      <w:r>
        <w:rPr>
          <w:rFonts w:ascii="Arial"/>
          <w:color w:val="000000"/>
          <w:sz w:val="24"/>
        </w:rPr>
        <w:t xml:space="preserve">” </w:t>
      </w:r>
      <w:r>
        <w:rPr>
          <w:rFonts w:ascii="Arial"/>
          <w:color w:val="000000"/>
          <w:sz w:val="24"/>
        </w:rPr>
        <w:t xml:space="preserve">within the meaning of the </w:t>
      </w:r>
      <w:r>
        <w:rPr>
          <w:rFonts w:ascii="Arial"/>
          <w:i/>
          <w:color w:val="000000"/>
          <w:sz w:val="24"/>
        </w:rPr>
        <w:t xml:space="preserve">Building and Construction Industry Security of Payment Act 1999 </w:t>
      </w:r>
      <w:r>
        <w:rPr>
          <w:rFonts w:ascii="Arial"/>
          <w:color w:val="000000"/>
          <w:sz w:val="24"/>
        </w:rPr>
        <w:t>(NSW) (</w:t>
      </w:r>
      <w:r>
        <w:rPr>
          <w:rFonts w:ascii="Arial"/>
          <w:b/>
          <w:color w:val="000000"/>
          <w:sz w:val="24"/>
        </w:rPr>
        <w:t>SOP Act</w:t>
      </w:r>
      <w:r>
        <w:rPr>
          <w:rFonts w:ascii="Arial"/>
          <w:color w:val="000000"/>
          <w:sz w:val="24"/>
        </w:rPr>
        <w:t>)</w:t>
      </w:r>
      <w:r>
        <w:rPr>
          <w:rFonts w:ascii="Arial"/>
          <w:color w:val="000000"/>
          <w:sz w:val="24"/>
        </w:rPr>
        <w:t xml:space="preserve">. It is common ground that </w:t>
      </w:r>
      <w:r>
        <w:rPr>
          <w:rFonts w:ascii="Arial"/>
          <w:color w:val="000000"/>
          <w:sz w:val="24"/>
        </w:rPr>
        <w:t xml:space="preserve">at least some </w:t>
      </w:r>
      <w:r>
        <w:rPr>
          <w:rFonts w:ascii="Arial"/>
          <w:color w:val="000000"/>
          <w:sz w:val="24"/>
        </w:rPr>
        <w:t>work under the Contract has been carried out by Black Sheep. This application for leave to appeal concerns two disputed claims</w:t>
      </w:r>
      <w:r>
        <w:rPr>
          <w:rFonts w:ascii="Arial"/>
          <w:color w:val="000000"/>
          <w:sz w:val="24"/>
        </w:rPr>
        <w:t xml:space="preserve"> </w:t>
      </w:r>
      <w:r>
        <w:rPr>
          <w:rFonts w:ascii="Arial"/>
          <w:color w:val="000000"/>
          <w:sz w:val="24"/>
        </w:rPr>
        <w:t xml:space="preserve">for progress payments </w:t>
      </w:r>
      <w:r>
        <w:rPr>
          <w:rFonts w:ascii="Arial"/>
          <w:color w:val="000000"/>
          <w:sz w:val="24"/>
        </w:rPr>
        <w:t>served on Portelli by Black Sheep in August and September 2025</w:t>
      </w:r>
      <w:r>
        <w:rPr>
          <w:rFonts w:ascii="Arial"/>
          <w:color w:val="000000"/>
          <w:sz w:val="24"/>
        </w:rPr>
        <w:t>.</w:t>
      </w:r>
    </w:p>
    <w:p>
      <w:pPr>
        <w:pStyle w:val="CaselawNumbered10"/>
        <w:numPr>
          <w:ilvl w:val="0"/>
          <w:numId w:val="22"/>
        </w:numPr>
        <w:spacing w:before="150" w:after="0"/>
        <w:ind w:left="600" w:hanging="600"/>
      </w:pPr>
      <w:r>
        <w:rPr>
          <w:rFonts w:ascii="Arial"/>
          <w:color w:val="000000"/>
          <w:sz w:val="24"/>
        </w:rPr>
        <w:t>Payment Claim 3 (</w:t>
      </w:r>
      <w:r>
        <w:rPr>
          <w:rFonts w:ascii="Arial"/>
          <w:b/>
          <w:color w:val="000000"/>
          <w:sz w:val="24"/>
        </w:rPr>
        <w:t>PC3</w:t>
      </w:r>
      <w:r>
        <w:rPr>
          <w:rFonts w:ascii="Arial"/>
          <w:color w:val="000000"/>
          <w:sz w:val="24"/>
        </w:rPr>
        <w:t>) was served on 21 August 2025. Payment Claim 4 (</w:t>
      </w:r>
      <w:r>
        <w:rPr>
          <w:rFonts w:ascii="Arial"/>
          <w:b/>
          <w:color w:val="000000"/>
          <w:sz w:val="24"/>
        </w:rPr>
        <w:t>PC4</w:t>
      </w:r>
      <w:r>
        <w:rPr>
          <w:rFonts w:ascii="Arial"/>
          <w:color w:val="000000"/>
          <w:sz w:val="24"/>
        </w:rPr>
        <w:t xml:space="preserve">) was served on 22 September 2025. </w:t>
      </w:r>
      <w:r>
        <w:rPr>
          <w:rFonts w:ascii="Arial"/>
          <w:color w:val="000000"/>
          <w:sz w:val="24"/>
        </w:rPr>
        <w:t xml:space="preserve">Each </w:t>
      </w:r>
      <w:r>
        <w:rPr>
          <w:rFonts w:ascii="Arial"/>
          <w:color w:val="000000"/>
          <w:sz w:val="24"/>
        </w:rPr>
        <w:t>was stated</w:t>
      </w:r>
      <w:r>
        <w:rPr>
          <w:rFonts w:ascii="Arial"/>
          <w:color w:val="000000"/>
          <w:sz w:val="24"/>
        </w:rPr>
        <w:t xml:space="preserve"> </w:t>
      </w:r>
      <w:r>
        <w:rPr>
          <w:rFonts w:ascii="Arial"/>
          <w:color w:val="000000"/>
          <w:sz w:val="24"/>
        </w:rPr>
        <w:t xml:space="preserve">to be a payment claim under the </w:t>
      </w:r>
      <w:r>
        <w:rPr>
          <w:rFonts w:ascii="Arial"/>
          <w:color w:val="000000"/>
          <w:sz w:val="24"/>
        </w:rPr>
        <w:t>SOP Act</w:t>
      </w:r>
      <w:r>
        <w:rPr>
          <w:rFonts w:ascii="Arial"/>
          <w:color w:val="000000"/>
          <w:sz w:val="24"/>
        </w:rPr>
        <w:t>.</w:t>
      </w:r>
      <w:r>
        <w:rPr>
          <w:rFonts w:ascii="Arial"/>
          <w:color w:val="000000"/>
          <w:sz w:val="24"/>
        </w:rPr>
        <w:t xml:space="preserve"> </w:t>
      </w:r>
      <w:r>
        <w:rPr>
          <w:rFonts w:ascii="Arial"/>
          <w:color w:val="000000"/>
          <w:sz w:val="24"/>
        </w:rPr>
        <w:t xml:space="preserve">Portelli made some </w:t>
      </w:r>
      <w:r>
        <w:rPr>
          <w:rFonts w:ascii="Arial"/>
          <w:color w:val="000000"/>
          <w:sz w:val="24"/>
        </w:rPr>
        <w:t xml:space="preserve">payments but </w:t>
      </w:r>
      <w:r>
        <w:rPr>
          <w:rFonts w:ascii="Arial"/>
          <w:color w:val="000000"/>
          <w:sz w:val="24"/>
        </w:rPr>
        <w:t>did not pay</w:t>
      </w:r>
      <w:r>
        <w:rPr>
          <w:rFonts w:ascii="Arial"/>
          <w:color w:val="000000"/>
          <w:sz w:val="24"/>
        </w:rPr>
        <w:t xml:space="preserve"> </w:t>
      </w:r>
      <w:r>
        <w:rPr>
          <w:rFonts w:ascii="Arial"/>
          <w:color w:val="000000"/>
          <w:sz w:val="24"/>
        </w:rPr>
        <w:t xml:space="preserve">either claim in full. Portelli did not serve a payment schedule under the </w:t>
      </w:r>
      <w:r>
        <w:rPr>
          <w:rFonts w:ascii="Arial"/>
          <w:color w:val="000000"/>
          <w:sz w:val="24"/>
        </w:rPr>
        <w:t>SOP Act</w:t>
      </w:r>
      <w:r>
        <w:rPr>
          <w:rFonts w:ascii="Arial"/>
          <w:color w:val="000000"/>
          <w:sz w:val="24"/>
        </w:rPr>
        <w:t xml:space="preserve">, </w:t>
      </w:r>
      <w:r>
        <w:rPr>
          <w:rFonts w:ascii="Arial"/>
          <w:color w:val="000000"/>
          <w:sz w:val="24"/>
        </w:rPr>
        <w:t>s</w:t>
      </w:r>
      <w:r>
        <w:rPr>
          <w:rFonts w:ascii="Arial"/>
          <w:color w:val="000000"/>
          <w:sz w:val="24"/>
        </w:rPr>
        <w:t>o</w:t>
      </w:r>
      <w:r>
        <w:rPr>
          <w:rFonts w:ascii="Arial"/>
          <w:color w:val="000000"/>
          <w:sz w:val="24"/>
        </w:rPr>
        <w:t xml:space="preserve"> </w:t>
      </w:r>
      <w:r>
        <w:rPr>
          <w:rFonts w:ascii="Arial"/>
          <w:color w:val="000000"/>
          <w:sz w:val="24"/>
        </w:rPr>
        <w:t xml:space="preserve">as </w:t>
      </w:r>
      <w:r>
        <w:rPr>
          <w:rFonts w:ascii="Arial"/>
          <w:color w:val="000000"/>
          <w:sz w:val="24"/>
        </w:rPr>
        <w:t>to</w:t>
      </w:r>
      <w:r>
        <w:rPr>
          <w:rFonts w:ascii="Arial"/>
          <w:color w:val="000000"/>
          <w:sz w:val="24"/>
        </w:rPr>
        <w:t xml:space="preserve"> </w:t>
      </w:r>
      <w:r>
        <w:rPr>
          <w:rFonts w:ascii="Arial"/>
          <w:color w:val="000000"/>
          <w:sz w:val="24"/>
        </w:rPr>
        <w:t xml:space="preserve">trigger the statutory machinery for dealing with disputed claims. </w:t>
      </w:r>
    </w:p>
    <w:p>
      <w:pPr>
        <w:pStyle w:val="CaselawNumbered10"/>
        <w:numPr>
          <w:ilvl w:val="0"/>
          <w:numId w:val="22"/>
        </w:numPr>
        <w:spacing w:before="150" w:after="0"/>
        <w:ind w:left="600" w:hanging="600"/>
      </w:pPr>
      <w:r>
        <w:rPr>
          <w:rFonts w:ascii="Arial"/>
          <w:color w:val="000000"/>
          <w:sz w:val="24"/>
        </w:rPr>
        <w:t>Black Sheep asserted that in those circumstances it was entitled to recover the unpaid portions of PC3 and PC4 as a debt due, pursuant to ss 14 and 15(2)</w:t>
      </w:r>
      <w:r>
        <w:rPr>
          <w:rFonts w:ascii="Arial"/>
          <w:color w:val="000000"/>
          <w:sz w:val="24"/>
        </w:rPr>
        <w:t>(a)</w:t>
      </w:r>
      <w:r>
        <w:rPr>
          <w:rFonts w:ascii="Arial"/>
          <w:color w:val="000000"/>
          <w:sz w:val="24"/>
        </w:rPr>
        <w:t>(</w:t>
      </w:r>
      <w:r>
        <w:rPr>
          <w:rFonts w:ascii="Arial"/>
          <w:color w:val="000000"/>
          <w:sz w:val="24"/>
        </w:rPr>
        <w:t>i</w:t>
      </w:r>
      <w:r>
        <w:rPr>
          <w:rFonts w:ascii="Arial"/>
          <w:color w:val="000000"/>
          <w:sz w:val="24"/>
        </w:rPr>
        <w:t xml:space="preserve">) of the </w:t>
      </w:r>
      <w:r>
        <w:rPr>
          <w:rFonts w:ascii="Arial"/>
          <w:color w:val="000000"/>
          <w:sz w:val="24"/>
        </w:rPr>
        <w:t>SOP Act</w:t>
      </w:r>
      <w:r>
        <w:rPr>
          <w:rFonts w:ascii="Arial"/>
          <w:color w:val="000000"/>
          <w:sz w:val="24"/>
        </w:rPr>
        <w:t xml:space="preserve">. </w:t>
      </w:r>
      <w:r>
        <w:rPr>
          <w:rFonts w:ascii="Arial"/>
          <w:color w:val="000000"/>
          <w:sz w:val="24"/>
        </w:rPr>
        <w:t>It commenced proceedings in the Supreme Court and moved for summary judgment. The primary judge was satisfied that no triable issue arose and gave summary judgment in favour of Black Sheep</w:t>
      </w:r>
      <w:r>
        <w:rPr>
          <w:rFonts w:ascii="Arial"/>
          <w:color w:val="000000"/>
          <w:sz w:val="24"/>
        </w:rPr>
        <w:t xml:space="preserve"> </w:t>
      </w:r>
      <w:r>
        <w:rPr>
          <w:rFonts w:ascii="Arial"/>
          <w:color w:val="000000"/>
          <w:sz w:val="24"/>
        </w:rPr>
        <w:t>in the sum of $3,822,378.26, comprising the unpaid portions of PC3 and PC4</w:t>
      </w:r>
      <w:r>
        <w:rPr>
          <w:rFonts w:ascii="Arial"/>
          <w:color w:val="000000"/>
          <w:sz w:val="24"/>
        </w:rPr>
        <w:t>,</w:t>
      </w:r>
      <w:r>
        <w:rPr>
          <w:rFonts w:ascii="Arial"/>
          <w:color w:val="000000"/>
          <w:sz w:val="24"/>
        </w:rPr>
        <w:t xml:space="preserve"> </w:t>
      </w:r>
      <w:r>
        <w:rPr>
          <w:rFonts w:ascii="Arial"/>
          <w:color w:val="000000"/>
          <w:sz w:val="24"/>
        </w:rPr>
        <w:t xml:space="preserve">plus interest </w:t>
      </w:r>
      <w:r>
        <w:rPr>
          <w:rFonts w:ascii="Arial"/>
          <w:color w:val="000000"/>
          <w:sz w:val="24"/>
        </w:rPr>
        <w:t>pursuant to s</w:t>
      </w:r>
      <w:r>
        <w:rPr>
          <w:rFonts w:ascii="Arial"/>
          <w:color w:val="000000"/>
          <w:sz w:val="24"/>
        </w:rPr>
        <w:t xml:space="preserve"> </w:t>
      </w:r>
      <w:r>
        <w:rPr>
          <w:rFonts w:ascii="Arial"/>
          <w:color w:val="000000"/>
          <w:sz w:val="24"/>
        </w:rPr>
        <w:t>11(2)(a) of the SOP Act</w:t>
      </w:r>
      <w:r>
        <w:rPr>
          <w:rFonts w:ascii="Arial"/>
          <w:color w:val="000000"/>
          <w:sz w:val="24"/>
        </w:rPr>
        <w:t xml:space="preserve">. </w:t>
      </w:r>
    </w:p>
    <w:p>
      <w:pPr>
        <w:pStyle w:val="CaselawNumbered10"/>
        <w:numPr>
          <w:ilvl w:val="0"/>
          <w:numId w:val="22"/>
        </w:numPr>
        <w:spacing w:before="150" w:after="0"/>
        <w:ind w:left="600" w:hanging="600"/>
      </w:pPr>
      <w:r>
        <w:rPr>
          <w:rFonts w:ascii="Arial"/>
          <w:color w:val="000000"/>
          <w:sz w:val="24"/>
        </w:rPr>
        <w:t xml:space="preserve">Portelli seeks leave to appeal and </w:t>
      </w:r>
      <w:r>
        <w:rPr>
          <w:rFonts w:ascii="Arial"/>
          <w:color w:val="000000"/>
          <w:sz w:val="24"/>
        </w:rPr>
        <w:t>argues</w:t>
      </w:r>
      <w:r>
        <w:rPr>
          <w:rFonts w:ascii="Arial"/>
          <w:color w:val="000000"/>
          <w:sz w:val="24"/>
        </w:rPr>
        <w:t xml:space="preserve"> </w:t>
      </w:r>
      <w:r>
        <w:rPr>
          <w:rFonts w:ascii="Arial"/>
          <w:color w:val="000000"/>
          <w:sz w:val="24"/>
        </w:rPr>
        <w:t xml:space="preserve">that the primary judge erred in two respects. </w:t>
      </w:r>
      <w:r>
        <w:rPr>
          <w:rFonts w:ascii="Arial"/>
          <w:color w:val="000000"/>
          <w:sz w:val="24"/>
        </w:rPr>
        <w:t>Portelli</w:t>
      </w:r>
      <w:r>
        <w:rPr>
          <w:rFonts w:ascii="Arial"/>
          <w:color w:val="000000"/>
          <w:sz w:val="24"/>
        </w:rPr>
        <w:t>’</w:t>
      </w:r>
      <w:r>
        <w:rPr>
          <w:rFonts w:ascii="Arial"/>
          <w:color w:val="000000"/>
          <w:sz w:val="24"/>
        </w:rPr>
        <w:t xml:space="preserve">s first </w:t>
      </w:r>
      <w:r>
        <w:rPr>
          <w:rFonts w:ascii="Arial"/>
          <w:color w:val="000000"/>
          <w:sz w:val="24"/>
        </w:rPr>
        <w:t>argument</w:t>
      </w:r>
      <w:r>
        <w:rPr>
          <w:rFonts w:ascii="Arial"/>
          <w:color w:val="000000"/>
          <w:sz w:val="24"/>
        </w:rPr>
        <w:t xml:space="preserve"> </w:t>
      </w:r>
      <w:r>
        <w:rPr>
          <w:rFonts w:ascii="Arial"/>
          <w:color w:val="000000"/>
          <w:sz w:val="24"/>
        </w:rPr>
        <w:t xml:space="preserve">is that there was a triable issue that PC3 and PC4 were not </w:t>
      </w:r>
      <w:r>
        <w:rPr>
          <w:rFonts w:ascii="Arial"/>
          <w:color w:val="000000"/>
          <w:sz w:val="24"/>
        </w:rPr>
        <w:t xml:space="preserve">claims </w:t>
      </w:r>
      <w:r>
        <w:rPr>
          <w:rFonts w:ascii="Arial"/>
          <w:color w:val="000000"/>
          <w:sz w:val="24"/>
        </w:rPr>
        <w:t xml:space="preserve">properly served on Portelli pursuant to </w:t>
      </w:r>
      <w:r>
        <w:rPr>
          <w:rFonts w:ascii="Arial"/>
          <w:color w:val="000000"/>
          <w:sz w:val="24"/>
        </w:rPr>
        <w:t>subss</w:t>
      </w:r>
      <w:r>
        <w:rPr>
          <w:rFonts w:ascii="Arial"/>
          <w:color w:val="000000"/>
          <w:sz w:val="24"/>
        </w:rPr>
        <w:t xml:space="preserve"> </w:t>
      </w:r>
      <w:r>
        <w:rPr>
          <w:rFonts w:ascii="Arial"/>
          <w:color w:val="000000"/>
          <w:sz w:val="24"/>
        </w:rPr>
        <w:t xml:space="preserve">(1A) and (1B) of s 13 of the </w:t>
      </w:r>
      <w:r>
        <w:rPr>
          <w:rFonts w:ascii="Arial"/>
          <w:color w:val="000000"/>
          <w:sz w:val="24"/>
        </w:rPr>
        <w:t>SOP Act</w:t>
      </w:r>
      <w:r>
        <w:rPr>
          <w:rFonts w:ascii="Arial"/>
          <w:color w:val="000000"/>
          <w:sz w:val="24"/>
        </w:rPr>
        <w:t xml:space="preserve">, </w:t>
      </w:r>
      <w:r>
        <w:rPr>
          <w:rFonts w:ascii="Arial"/>
          <w:color w:val="000000"/>
          <w:sz w:val="24"/>
        </w:rPr>
        <w:t>so as to</w:t>
      </w:r>
      <w:r>
        <w:rPr>
          <w:rFonts w:ascii="Arial"/>
          <w:color w:val="000000"/>
          <w:sz w:val="24"/>
        </w:rPr>
        <w:t xml:space="preserve"> </w:t>
      </w:r>
      <w:r>
        <w:rPr>
          <w:rFonts w:ascii="Arial"/>
          <w:color w:val="000000"/>
          <w:sz w:val="24"/>
        </w:rPr>
        <w:t>enliven a liability under s 14(4)</w:t>
      </w:r>
      <w:r>
        <w:rPr>
          <w:rFonts w:ascii="Arial"/>
          <w:color w:val="000000"/>
          <w:sz w:val="24"/>
        </w:rPr>
        <w:t xml:space="preserve">. </w:t>
      </w:r>
      <w:r>
        <w:rPr>
          <w:rFonts w:ascii="Arial"/>
          <w:color w:val="000000"/>
          <w:sz w:val="24"/>
        </w:rPr>
        <w:t>Th</w:t>
      </w:r>
      <w:r>
        <w:rPr>
          <w:rFonts w:ascii="Arial"/>
          <w:color w:val="000000"/>
          <w:sz w:val="24"/>
        </w:rPr>
        <w:t xml:space="preserve">e resolution of that argument </w:t>
      </w:r>
      <w:r>
        <w:rPr>
          <w:rFonts w:ascii="Arial"/>
          <w:color w:val="000000"/>
          <w:sz w:val="24"/>
        </w:rPr>
        <w:t>turns on the proper construction of s</w:t>
      </w:r>
      <w:r>
        <w:rPr>
          <w:rFonts w:ascii="Arial"/>
          <w:color w:val="000000"/>
          <w:sz w:val="24"/>
        </w:rPr>
        <w:t>s</w:t>
      </w:r>
      <w:r>
        <w:rPr>
          <w:rFonts w:ascii="Arial"/>
          <w:color w:val="000000"/>
          <w:sz w:val="24"/>
        </w:rPr>
        <w:t xml:space="preserve"> </w:t>
      </w:r>
      <w:r>
        <w:rPr>
          <w:rFonts w:ascii="Arial"/>
          <w:color w:val="000000"/>
          <w:sz w:val="24"/>
        </w:rPr>
        <w:t>13</w:t>
      </w:r>
      <w:r>
        <w:rPr>
          <w:rFonts w:ascii="Arial"/>
          <w:color w:val="000000"/>
          <w:sz w:val="24"/>
        </w:rPr>
        <w:t>, 14 and 15</w:t>
      </w:r>
      <w:r>
        <w:rPr>
          <w:rFonts w:ascii="Arial"/>
          <w:color w:val="000000"/>
          <w:sz w:val="24"/>
        </w:rPr>
        <w:t xml:space="preserve">. </w:t>
      </w:r>
      <w:r>
        <w:rPr>
          <w:rFonts w:ascii="Arial"/>
          <w:color w:val="000000"/>
          <w:sz w:val="24"/>
        </w:rPr>
        <w:t>Portelli</w:t>
      </w:r>
      <w:r>
        <w:rPr>
          <w:rFonts w:ascii="Arial"/>
          <w:color w:val="000000"/>
          <w:sz w:val="24"/>
        </w:rPr>
        <w:t>’</w:t>
      </w:r>
      <w:r>
        <w:rPr>
          <w:rFonts w:ascii="Arial"/>
          <w:color w:val="000000"/>
          <w:sz w:val="24"/>
        </w:rPr>
        <w:t xml:space="preserve">s primary contention </w:t>
      </w:r>
      <w:r>
        <w:rPr>
          <w:rFonts w:ascii="Arial"/>
          <w:color w:val="000000"/>
          <w:sz w:val="24"/>
        </w:rPr>
        <w:t xml:space="preserve">in this regard </w:t>
      </w:r>
      <w:r>
        <w:rPr>
          <w:rFonts w:ascii="Arial"/>
          <w:color w:val="000000"/>
          <w:sz w:val="24"/>
        </w:rPr>
        <w:t>is</w:t>
      </w:r>
      <w:r>
        <w:rPr>
          <w:rFonts w:ascii="Arial"/>
          <w:color w:val="000000"/>
          <w:sz w:val="24"/>
        </w:rPr>
        <w:t xml:space="preserve"> </w:t>
      </w:r>
      <w:r>
        <w:rPr>
          <w:rFonts w:ascii="Arial"/>
          <w:color w:val="000000"/>
          <w:sz w:val="24"/>
        </w:rPr>
        <w:t xml:space="preserve">that a payment claim is not </w:t>
      </w:r>
      <w:r>
        <w:rPr>
          <w:rFonts w:ascii="Arial"/>
          <w:color w:val="000000"/>
          <w:sz w:val="24"/>
        </w:rPr>
        <w:t>validly made</w:t>
      </w:r>
      <w:r>
        <w:rPr>
          <w:rFonts w:ascii="Arial"/>
          <w:color w:val="000000"/>
          <w:sz w:val="24"/>
        </w:rPr>
        <w:t xml:space="preserve"> </w:t>
      </w:r>
      <w:r>
        <w:rPr>
          <w:rFonts w:ascii="Arial"/>
          <w:color w:val="000000"/>
          <w:sz w:val="24"/>
        </w:rPr>
        <w:t>and cannot enliven a liability on the part of the recipient</w:t>
      </w:r>
      <w:r>
        <w:rPr>
          <w:rFonts w:ascii="Arial"/>
          <w:color w:val="000000"/>
          <w:sz w:val="24"/>
        </w:rPr>
        <w:t xml:space="preserve"> </w:t>
      </w:r>
      <w:r>
        <w:rPr>
          <w:rFonts w:ascii="Arial"/>
          <w:color w:val="000000"/>
          <w:sz w:val="24"/>
        </w:rPr>
        <w:t>unless it has been established as a matter of objective fact</w:t>
      </w:r>
      <w:r>
        <w:rPr>
          <w:rFonts w:ascii="Arial"/>
          <w:color w:val="000000"/>
          <w:sz w:val="24"/>
        </w:rPr>
        <w:t xml:space="preserve">, </w:t>
      </w:r>
      <w:r>
        <w:rPr>
          <w:rFonts w:ascii="Arial"/>
          <w:color w:val="000000"/>
          <w:sz w:val="24"/>
        </w:rPr>
        <w:t>and not merely</w:t>
      </w:r>
      <w:r>
        <w:rPr>
          <w:rFonts w:ascii="Arial"/>
          <w:color w:val="000000"/>
          <w:sz w:val="24"/>
        </w:rPr>
        <w:t xml:space="preserve"> </w:t>
      </w:r>
      <w:r>
        <w:rPr>
          <w:rFonts w:ascii="Arial"/>
          <w:color w:val="000000"/>
          <w:sz w:val="24"/>
        </w:rPr>
        <w:t>as a matter of</w:t>
      </w:r>
      <w:r>
        <w:rPr>
          <w:rFonts w:ascii="Arial"/>
          <w:color w:val="000000"/>
          <w:sz w:val="24"/>
        </w:rPr>
        <w:t xml:space="preserve"> </w:t>
      </w:r>
      <w:r>
        <w:rPr>
          <w:rFonts w:ascii="Arial"/>
          <w:color w:val="000000"/>
          <w:sz w:val="24"/>
        </w:rPr>
        <w:t>assertion by the claimant</w:t>
      </w:r>
      <w:r>
        <w:rPr>
          <w:rFonts w:ascii="Arial"/>
          <w:color w:val="000000"/>
          <w:sz w:val="24"/>
        </w:rPr>
        <w:t>,</w:t>
      </w:r>
      <w:r>
        <w:rPr>
          <w:rFonts w:ascii="Arial"/>
          <w:color w:val="000000"/>
          <w:sz w:val="24"/>
        </w:rPr>
        <w:t xml:space="preserve"> </w:t>
      </w:r>
      <w:r>
        <w:rPr>
          <w:rFonts w:ascii="Arial"/>
          <w:color w:val="000000"/>
          <w:sz w:val="24"/>
        </w:rPr>
        <w:t xml:space="preserve">that construction work </w:t>
      </w:r>
      <w:r>
        <w:rPr>
          <w:rFonts w:ascii="Arial"/>
          <w:color w:val="000000"/>
          <w:sz w:val="24"/>
        </w:rPr>
        <w:t xml:space="preserve">was carried out </w:t>
      </w:r>
      <w:r>
        <w:rPr>
          <w:rFonts w:ascii="Arial"/>
          <w:color w:val="000000"/>
          <w:sz w:val="24"/>
        </w:rPr>
        <w:t xml:space="preserve">within the relevant time period. </w:t>
      </w:r>
      <w:r>
        <w:rPr>
          <w:rFonts w:ascii="Arial"/>
          <w:color w:val="000000"/>
          <w:sz w:val="24"/>
        </w:rPr>
        <w:t xml:space="preserve">Portelli also argues that PC3 and PC4 were served prematurely. </w:t>
      </w:r>
    </w:p>
    <w:p>
      <w:pPr>
        <w:pStyle w:val="CaselawNumbered10"/>
        <w:numPr>
          <w:ilvl w:val="0"/>
          <w:numId w:val="22"/>
        </w:numPr>
        <w:spacing w:before="150" w:after="0"/>
        <w:ind w:left="600" w:hanging="600"/>
      </w:pPr>
      <w:r>
        <w:rPr>
          <w:rFonts w:ascii="Arial"/>
          <w:color w:val="000000"/>
          <w:sz w:val="24"/>
        </w:rPr>
        <w:t>Portelli</w:t>
      </w:r>
      <w:r>
        <w:rPr>
          <w:rFonts w:ascii="Arial"/>
          <w:color w:val="000000"/>
          <w:sz w:val="24"/>
        </w:rPr>
        <w:t>’</w:t>
      </w:r>
      <w:r>
        <w:rPr>
          <w:rFonts w:ascii="Arial"/>
          <w:color w:val="000000"/>
          <w:sz w:val="24"/>
        </w:rPr>
        <w:t xml:space="preserve">s second </w:t>
      </w:r>
      <w:r>
        <w:rPr>
          <w:rFonts w:ascii="Arial"/>
          <w:color w:val="000000"/>
          <w:sz w:val="24"/>
        </w:rPr>
        <w:t>argument</w:t>
      </w:r>
      <w:r>
        <w:rPr>
          <w:rFonts w:ascii="Arial"/>
          <w:color w:val="000000"/>
          <w:sz w:val="24"/>
        </w:rPr>
        <w:t xml:space="preserve"> </w:t>
      </w:r>
      <w:r>
        <w:rPr>
          <w:rFonts w:ascii="Arial"/>
          <w:color w:val="000000"/>
          <w:sz w:val="24"/>
        </w:rPr>
        <w:t>is that there was a triable issue about whether Black</w:t>
      </w:r>
      <w:r>
        <w:rPr>
          <w:rFonts w:ascii="Arial"/>
          <w:color w:val="000000"/>
          <w:sz w:val="24"/>
        </w:rPr>
        <w:t> </w:t>
      </w:r>
      <w:r>
        <w:rPr>
          <w:rFonts w:ascii="Arial"/>
          <w:color w:val="000000"/>
          <w:sz w:val="24"/>
        </w:rPr>
        <w:t xml:space="preserve">Sheep had any entitlement to claim progress payments under the </w:t>
      </w:r>
      <w:r>
        <w:rPr>
          <w:rFonts w:ascii="Arial"/>
          <w:color w:val="000000"/>
          <w:sz w:val="24"/>
        </w:rPr>
        <w:t>SOP</w:t>
      </w:r>
      <w:r>
        <w:rPr>
          <w:rFonts w:ascii="Arial"/>
          <w:color w:val="000000"/>
          <w:sz w:val="24"/>
        </w:rPr>
        <w:t> </w:t>
      </w:r>
      <w:r>
        <w:rPr>
          <w:rFonts w:ascii="Arial"/>
          <w:color w:val="000000"/>
          <w:sz w:val="24"/>
        </w:rPr>
        <w:t>Act</w:t>
      </w:r>
      <w:r>
        <w:rPr>
          <w:rFonts w:ascii="Arial"/>
          <w:color w:val="000000"/>
          <w:sz w:val="24"/>
        </w:rPr>
        <w:t>, because of the nature of the development to which the Contract relates.</w:t>
      </w:r>
      <w:r>
        <w:rPr>
          <w:rFonts w:ascii="Arial"/>
          <w:color w:val="000000"/>
          <w:sz w:val="24"/>
        </w:rPr>
        <w:t xml:space="preserve"> </w:t>
      </w:r>
      <w:r>
        <w:rPr>
          <w:rFonts w:ascii="Arial"/>
          <w:color w:val="000000"/>
          <w:sz w:val="24"/>
        </w:rPr>
        <w:t xml:space="preserve">Black Sheep was not relevantly insured for </w:t>
      </w:r>
      <w:r>
        <w:rPr>
          <w:rFonts w:ascii="Arial"/>
          <w:color w:val="000000"/>
          <w:sz w:val="24"/>
        </w:rPr>
        <w:t>“</w:t>
      </w:r>
      <w:r>
        <w:rPr>
          <w:rFonts w:ascii="Arial"/>
          <w:color w:val="000000"/>
          <w:sz w:val="24"/>
        </w:rPr>
        <w:t>residential building work</w:t>
      </w:r>
      <w:r>
        <w:rPr>
          <w:rFonts w:ascii="Arial"/>
          <w:color w:val="000000"/>
          <w:sz w:val="24"/>
        </w:rPr>
        <w:t>”</w:t>
      </w:r>
      <w:r>
        <w:rPr>
          <w:rFonts w:ascii="Arial"/>
          <w:color w:val="000000"/>
          <w:sz w:val="24"/>
        </w:rPr>
        <w:t xml:space="preserve"> </w:t>
      </w:r>
      <w:r>
        <w:rPr>
          <w:rFonts w:ascii="Arial"/>
          <w:color w:val="000000"/>
          <w:sz w:val="24"/>
        </w:rPr>
        <w:t xml:space="preserve">under the </w:t>
      </w:r>
      <w:r>
        <w:rPr>
          <w:rFonts w:ascii="Arial"/>
          <w:i/>
          <w:color w:val="000000"/>
          <w:sz w:val="24"/>
        </w:rPr>
        <w:t xml:space="preserve">Home Building Act 1989 </w:t>
      </w:r>
      <w:r>
        <w:rPr>
          <w:rFonts w:ascii="Arial"/>
          <w:color w:val="000000"/>
          <w:sz w:val="24"/>
        </w:rPr>
        <w:t xml:space="preserve">(NSW). Portelli contends that there is a triable issue that the work in question is residential building work, which would </w:t>
      </w:r>
      <w:r>
        <w:rPr>
          <w:rFonts w:ascii="Arial"/>
          <w:color w:val="000000"/>
          <w:sz w:val="24"/>
        </w:rPr>
        <w:t>have the consequence of</w:t>
      </w:r>
      <w:r>
        <w:rPr>
          <w:rFonts w:ascii="Arial"/>
          <w:color w:val="000000"/>
          <w:sz w:val="24"/>
        </w:rPr>
        <w:t xml:space="preserve"> </w:t>
      </w:r>
      <w:r>
        <w:rPr>
          <w:rFonts w:ascii="Arial"/>
          <w:color w:val="000000"/>
          <w:sz w:val="24"/>
        </w:rPr>
        <w:t>disentitl</w:t>
      </w:r>
      <w:r>
        <w:rPr>
          <w:rFonts w:ascii="Arial"/>
          <w:color w:val="000000"/>
          <w:sz w:val="24"/>
        </w:rPr>
        <w:t>ing</w:t>
      </w:r>
      <w:r>
        <w:rPr>
          <w:rFonts w:ascii="Arial"/>
          <w:color w:val="000000"/>
          <w:sz w:val="24"/>
        </w:rPr>
        <w:t xml:space="preserve"> </w:t>
      </w:r>
      <w:r>
        <w:rPr>
          <w:rFonts w:ascii="Arial"/>
          <w:color w:val="000000"/>
          <w:sz w:val="24"/>
        </w:rPr>
        <w:t xml:space="preserve">Black Sheep from recovering progress payments pursuant to the </w:t>
      </w:r>
      <w:r>
        <w:rPr>
          <w:rFonts w:ascii="Arial"/>
          <w:color w:val="000000"/>
          <w:sz w:val="24"/>
        </w:rPr>
        <w:t>SOP Act</w:t>
      </w:r>
      <w:r>
        <w:rPr>
          <w:rFonts w:ascii="Arial"/>
          <w:color w:val="000000"/>
          <w:sz w:val="24"/>
        </w:rPr>
        <w:t xml:space="preserve"> </w:t>
      </w:r>
      <w:r>
        <w:rPr>
          <w:rFonts w:ascii="Arial"/>
          <w:color w:val="000000"/>
          <w:sz w:val="24"/>
        </w:rPr>
        <w:t>because of s 8(2) of that Act. That contention turns on the proposition that the</w:t>
      </w:r>
      <w:r>
        <w:rPr>
          <w:rFonts w:ascii="Arial"/>
          <w:color w:val="000000"/>
          <w:sz w:val="24"/>
        </w:rPr>
        <w:t xml:space="preserve"> </w:t>
      </w:r>
      <w:r>
        <w:rPr>
          <w:rFonts w:ascii="Arial"/>
          <w:color w:val="000000"/>
          <w:sz w:val="24"/>
        </w:rPr>
        <w:t>buildings to be constructed (or parts of those buildings) are</w:t>
      </w:r>
      <w:r>
        <w:rPr>
          <w:rFonts w:ascii="Arial"/>
          <w:color w:val="000000"/>
          <w:sz w:val="24"/>
        </w:rPr>
        <w:t xml:space="preserve"> </w:t>
      </w:r>
      <w:r>
        <w:rPr>
          <w:rFonts w:ascii="Arial"/>
          <w:color w:val="000000"/>
          <w:sz w:val="24"/>
        </w:rPr>
        <w:t>“</w:t>
      </w:r>
      <w:r>
        <w:rPr>
          <w:rFonts w:ascii="Arial"/>
          <w:color w:val="000000"/>
          <w:sz w:val="24"/>
        </w:rPr>
        <w:t>dwellings</w:t>
      </w:r>
      <w:r>
        <w:rPr>
          <w:rFonts w:ascii="Arial"/>
          <w:color w:val="000000"/>
          <w:sz w:val="24"/>
        </w:rPr>
        <w:t xml:space="preserve">” </w:t>
      </w:r>
      <w:r>
        <w:rPr>
          <w:rFonts w:ascii="Arial"/>
          <w:color w:val="000000"/>
          <w:sz w:val="24"/>
        </w:rPr>
        <w:t xml:space="preserve">within the meaning of the </w:t>
      </w:r>
      <w:r>
        <w:rPr>
          <w:rFonts w:ascii="Arial"/>
          <w:i/>
          <w:color w:val="000000"/>
          <w:sz w:val="24"/>
        </w:rPr>
        <w:t>Home Building Act</w:t>
      </w:r>
      <w:r>
        <w:rPr>
          <w:rFonts w:ascii="Arial"/>
          <w:color w:val="000000"/>
          <w:sz w:val="24"/>
        </w:rPr>
        <w:t xml:space="preserve">. In circumstances where the buildings in question </w:t>
      </w:r>
      <w:r>
        <w:rPr>
          <w:rFonts w:ascii="Arial"/>
          <w:color w:val="000000"/>
          <w:sz w:val="24"/>
        </w:rPr>
        <w:t>constitute</w:t>
      </w:r>
      <w:r>
        <w:rPr>
          <w:rFonts w:ascii="Arial"/>
          <w:color w:val="000000"/>
          <w:sz w:val="24"/>
        </w:rPr>
        <w:t xml:space="preserve"> </w:t>
      </w:r>
      <w:r>
        <w:rPr>
          <w:rFonts w:ascii="Arial"/>
          <w:color w:val="000000"/>
          <w:sz w:val="24"/>
        </w:rPr>
        <w:t xml:space="preserve">accommodation specially designed for persons with disability, the decisive issue </w:t>
      </w:r>
      <w:r>
        <w:rPr>
          <w:rFonts w:ascii="Arial"/>
          <w:color w:val="000000"/>
          <w:sz w:val="24"/>
        </w:rPr>
        <w:t xml:space="preserve">in applying the definition of </w:t>
      </w:r>
      <w:r>
        <w:rPr>
          <w:rFonts w:ascii="Arial"/>
          <w:color w:val="000000"/>
          <w:sz w:val="24"/>
        </w:rPr>
        <w:t>“</w:t>
      </w:r>
      <w:r>
        <w:rPr>
          <w:rFonts w:ascii="Arial"/>
          <w:color w:val="000000"/>
          <w:sz w:val="24"/>
        </w:rPr>
        <w:t>dwellings</w:t>
      </w:r>
      <w:r>
        <w:rPr>
          <w:rFonts w:ascii="Arial"/>
          <w:color w:val="000000"/>
          <w:sz w:val="24"/>
        </w:rPr>
        <w:t xml:space="preserve">” </w:t>
      </w:r>
      <w:r>
        <w:rPr>
          <w:rFonts w:ascii="Arial"/>
          <w:color w:val="000000"/>
          <w:sz w:val="24"/>
        </w:rPr>
        <w:t xml:space="preserve">is whether the Contract provides for accommodation </w:t>
      </w:r>
      <w:r>
        <w:rPr>
          <w:rFonts w:ascii="Arial"/>
          <w:color w:val="000000"/>
          <w:sz w:val="24"/>
        </w:rPr>
        <w:t xml:space="preserve">for disabled persons </w:t>
      </w:r>
      <w:r>
        <w:rPr>
          <w:rFonts w:ascii="Arial"/>
          <w:color w:val="000000"/>
          <w:sz w:val="24"/>
        </w:rPr>
        <w:t xml:space="preserve">in the form of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Portelli says that there is a triable issue in this respect and in the circumstances summary judgment ought not have been </w:t>
      </w:r>
      <w:r>
        <w:rPr>
          <w:rFonts w:ascii="Arial"/>
          <w:color w:val="000000"/>
          <w:sz w:val="24"/>
        </w:rPr>
        <w:t>given</w:t>
      </w:r>
      <w:r>
        <w:rPr>
          <w:rFonts w:ascii="Arial"/>
          <w:color w:val="000000"/>
          <w:sz w:val="24"/>
        </w:rPr>
        <w:t>.</w:t>
      </w:r>
      <w:r>
        <w:rPr>
          <w:rFonts w:ascii="Arial"/>
          <w:color w:val="000000"/>
          <w:sz w:val="24"/>
        </w:rPr>
        <w:t xml:space="preserve"> </w:t>
      </w:r>
      <w:r>
        <w:rPr>
          <w:rFonts w:ascii="Arial"/>
          <w:color w:val="000000"/>
          <w:sz w:val="24"/>
        </w:rPr>
        <w:t xml:space="preserve"> </w:t>
      </w:r>
    </w:p>
    <w:p>
      <w:pPr>
        <w:pStyle w:val="CaselawNumbered10"/>
        <w:numPr>
          <w:ilvl w:val="0"/>
          <w:numId w:val="22"/>
        </w:numPr>
        <w:spacing w:before="150" w:after="0"/>
        <w:ind w:left="600" w:hanging="600"/>
      </w:pPr>
      <w:r>
        <w:rPr>
          <w:rFonts w:ascii="Arial"/>
          <w:color w:val="000000"/>
          <w:sz w:val="24"/>
        </w:rPr>
        <w:t>In practical terms the summary judgment awarded by the primary judge resolved the claim brought by Black Sheep. Nevertheless, summary judgment is a form of interlocutory judgment. As such, leave is required pursuant to s</w:t>
      </w:r>
      <w:r>
        <w:rPr>
          <w:rFonts w:ascii="Arial"/>
          <w:color w:val="000000"/>
          <w:sz w:val="24"/>
        </w:rPr>
        <w:t xml:space="preserve"> 101(2)(e) of the </w:t>
      </w:r>
      <w:r>
        <w:rPr>
          <w:rFonts w:ascii="Arial"/>
          <w:i/>
          <w:color w:val="000000"/>
          <w:sz w:val="24"/>
        </w:rPr>
        <w:t xml:space="preserve">Supreme Court Act 1970 </w:t>
      </w:r>
      <w:r>
        <w:rPr>
          <w:rFonts w:ascii="Arial"/>
          <w:color w:val="000000"/>
          <w:sz w:val="24"/>
        </w:rPr>
        <w:t xml:space="preserve">(NSW). </w:t>
      </w:r>
      <w:r>
        <w:rPr>
          <w:rFonts w:ascii="Arial"/>
          <w:color w:val="000000"/>
          <w:sz w:val="24"/>
        </w:rPr>
        <w:t>A</w:t>
      </w:r>
      <w:r>
        <w:rPr>
          <w:rFonts w:ascii="Arial"/>
          <w:color w:val="000000"/>
          <w:sz w:val="24"/>
        </w:rPr>
        <w:t>n order for summary judgment is not a matter of practice and procedure</w:t>
      </w:r>
      <w:r>
        <w:rPr>
          <w:rFonts w:ascii="Arial"/>
          <w:color w:val="000000"/>
          <w:sz w:val="24"/>
        </w:rPr>
        <w:t>. It follows that</w:t>
      </w:r>
      <w:r>
        <w:rPr>
          <w:rFonts w:ascii="Arial"/>
          <w:color w:val="000000"/>
          <w:sz w:val="24"/>
        </w:rPr>
        <w:t xml:space="preserve"> </w:t>
      </w:r>
      <w:r>
        <w:rPr>
          <w:rFonts w:ascii="Arial"/>
          <w:color w:val="000000"/>
          <w:sz w:val="24"/>
        </w:rPr>
        <w:t xml:space="preserve">the </w:t>
      </w:r>
      <w:r>
        <w:rPr>
          <w:rFonts w:ascii="Arial"/>
          <w:color w:val="000000"/>
          <w:sz w:val="24"/>
        </w:rPr>
        <w:t>particular caution</w:t>
      </w:r>
      <w:r>
        <w:rPr>
          <w:rFonts w:ascii="Arial"/>
          <w:color w:val="000000"/>
          <w:sz w:val="24"/>
        </w:rPr>
        <w:t xml:space="preserve"> </w:t>
      </w:r>
      <w:r>
        <w:rPr>
          <w:rFonts w:ascii="Arial"/>
          <w:color w:val="000000"/>
          <w:sz w:val="24"/>
        </w:rPr>
        <w:t xml:space="preserve">which attends a grant of leave in matters of that kind is not warranted: </w:t>
      </w:r>
      <w:r>
        <w:rPr>
          <w:rFonts w:ascii="Arial"/>
          <w:i/>
          <w:color w:val="000000"/>
          <w:sz w:val="24"/>
        </w:rPr>
        <w:t>Chalak</w:t>
      </w:r>
      <w:r>
        <w:rPr>
          <w:rFonts w:ascii="Arial"/>
          <w:i/>
          <w:color w:val="000000"/>
          <w:sz w:val="24"/>
        </w:rPr>
        <w:t xml:space="preserve"> v G &amp; G Mikhael Pty Ltd</w:t>
      </w:r>
      <w:r>
        <w:rPr>
          <w:rFonts w:ascii="Arial"/>
          <w:color w:val="000000"/>
          <w:sz w:val="24"/>
        </w:rPr>
        <w:t xml:space="preserve"> </w:t>
      </w:r>
      <w:r>
        <w:rPr>
          <w:rFonts w:ascii="Arial"/>
          <w:color w:val="000000"/>
          <w:sz w:val="24"/>
        </w:rPr>
        <w:t>[2022] NSWCA 116 at [8]-[12</w:t>
      </w:r>
      <w:r>
        <w:rPr>
          <w:rFonts w:ascii="Arial"/>
          <w:color w:val="000000"/>
          <w:sz w:val="24"/>
        </w:rPr>
        <w:t>].</w:t>
      </w:r>
    </w:p>
    <w:p>
      <w:pPr>
        <w:pStyle w:val="CaselawNumbered10"/>
        <w:numPr>
          <w:ilvl w:val="0"/>
          <w:numId w:val="22"/>
        </w:numPr>
        <w:spacing w:before="150" w:after="0"/>
        <w:ind w:left="600" w:hanging="600"/>
      </w:pPr>
      <w:r>
        <w:rPr>
          <w:rFonts w:ascii="Arial"/>
          <w:color w:val="000000"/>
          <w:sz w:val="24"/>
        </w:rPr>
        <w:t>For the reasons which follow, Portelli has failed to demonstrate that there is a triable issue on either of the two bases advanced. Leave should be granted but the appeal dismissed, with costs.</w:t>
      </w:r>
    </w:p>
    <w:p>
      <w:pPr>
        <w:pStyle w:val="CaselawHeading2"/>
        <w:keepNext/>
        <w:spacing w:before="150" w:after="150" w:line="264"/>
        <w:ind w:left="0"/>
        <w:jc w:val="left"/>
      </w:pPr>
      <w:r>
        <w:rPr>
          <w:rFonts w:ascii="Arial"/>
        </w:rPr>
        <w:t>Factual background</w:t>
      </w:r>
    </w:p>
    <w:p>
      <w:pPr>
        <w:pStyle w:val="CaselawNumbered10"/>
        <w:numPr>
          <w:ilvl w:val="0"/>
          <w:numId w:val="23"/>
        </w:numPr>
        <w:spacing w:before="150" w:after="0"/>
        <w:ind w:left="600" w:hanging="600"/>
      </w:pPr>
      <w:r>
        <w:rPr>
          <w:rFonts w:ascii="Arial"/>
          <w:color w:val="000000"/>
          <w:sz w:val="24"/>
        </w:rPr>
        <w:t xml:space="preserve">The Contract was formed by Black Sheep and Portelli on 14 May 2025. </w:t>
      </w:r>
      <w:r>
        <w:rPr>
          <w:rFonts w:ascii="Arial"/>
          <w:color w:val="000000"/>
          <w:sz w:val="24"/>
        </w:rPr>
        <w:t xml:space="preserve">It concerns the development of a site at North Gosford. </w:t>
      </w:r>
      <w:r>
        <w:rPr>
          <w:rFonts w:ascii="Arial"/>
          <w:color w:val="000000"/>
          <w:sz w:val="24"/>
        </w:rPr>
        <w:t>The scope of works in cl</w:t>
      </w:r>
      <w:r>
        <w:rPr>
          <w:rFonts w:ascii="Arial"/>
          <w:color w:val="000000"/>
          <w:sz w:val="24"/>
        </w:rPr>
        <w:t> </w:t>
      </w:r>
      <w:r>
        <w:rPr>
          <w:rFonts w:ascii="Arial"/>
          <w:color w:val="000000"/>
          <w:sz w:val="24"/>
        </w:rPr>
        <w:t xml:space="preserve">2 of Sch 1 to the Contract </w:t>
      </w:r>
      <w:r>
        <w:rPr>
          <w:rFonts w:ascii="Arial"/>
          <w:color w:val="000000"/>
          <w:sz w:val="24"/>
        </w:rPr>
        <w:t xml:space="preserve">includes designing, documenting and seeking planning approval for </w:t>
      </w:r>
      <w:r>
        <w:rPr>
          <w:rFonts w:ascii="Arial"/>
          <w:color w:val="000000"/>
          <w:sz w:val="24"/>
        </w:rPr>
        <w:t>high physical support (</w:t>
      </w:r>
      <w:r>
        <w:rPr>
          <w:rFonts w:ascii="Arial"/>
          <w:b/>
          <w:color w:val="000000"/>
          <w:sz w:val="24"/>
        </w:rPr>
        <w:t>HPS</w:t>
      </w:r>
      <w:r>
        <w:rPr>
          <w:rFonts w:ascii="Arial"/>
          <w:color w:val="000000"/>
          <w:sz w:val="24"/>
        </w:rPr>
        <w:t xml:space="preserve">) accommodation, </w:t>
      </w:r>
      <w:r>
        <w:rPr>
          <w:rFonts w:ascii="Arial"/>
          <w:color w:val="000000"/>
          <w:sz w:val="24"/>
        </w:rPr>
        <w:t xml:space="preserve">constructing </w:t>
      </w:r>
      <w:r>
        <w:rPr>
          <w:rFonts w:ascii="Arial"/>
          <w:color w:val="000000"/>
          <w:sz w:val="24"/>
        </w:rPr>
        <w:t>four dwelling</w:t>
      </w:r>
      <w:r>
        <w:rPr>
          <w:rFonts w:ascii="Arial"/>
          <w:color w:val="000000"/>
          <w:sz w:val="24"/>
        </w:rPr>
        <w:t xml:space="preserve"> </w:t>
      </w:r>
      <w:r>
        <w:rPr>
          <w:rFonts w:ascii="Arial"/>
          <w:color w:val="000000"/>
          <w:sz w:val="24"/>
        </w:rPr>
        <w:t>building</w:t>
      </w:r>
      <w:r>
        <w:rPr>
          <w:rFonts w:ascii="Arial"/>
          <w:color w:val="000000"/>
          <w:sz w:val="24"/>
        </w:rPr>
        <w:t xml:space="preserve">s </w:t>
      </w:r>
      <w:r>
        <w:rPr>
          <w:rFonts w:ascii="Arial"/>
          <w:color w:val="000000"/>
          <w:sz w:val="24"/>
        </w:rPr>
        <w:t>(</w:t>
      </w:r>
      <w:r>
        <w:rPr>
          <w:rFonts w:ascii="Arial"/>
          <w:color w:val="000000"/>
          <w:sz w:val="24"/>
        </w:rPr>
        <w:t>each containing five HPS rooms and one overnight nurses</w:t>
      </w:r>
      <w:r>
        <w:rPr>
          <w:rFonts w:ascii="Arial"/>
          <w:color w:val="000000"/>
          <w:sz w:val="24"/>
        </w:rPr>
        <w:t>’</w:t>
      </w:r>
      <w:r>
        <w:rPr>
          <w:rFonts w:ascii="Arial"/>
          <w:color w:val="000000"/>
          <w:sz w:val="24"/>
        </w:rPr>
        <w:t xml:space="preserve"> </w:t>
      </w:r>
      <w:r>
        <w:rPr>
          <w:rFonts w:ascii="Arial"/>
          <w:color w:val="000000"/>
          <w:sz w:val="24"/>
        </w:rPr>
        <w:t>quarter</w:t>
      </w:r>
      <w:r>
        <w:rPr>
          <w:rFonts w:ascii="Arial"/>
          <w:color w:val="000000"/>
          <w:sz w:val="24"/>
        </w:rPr>
        <w:t>s</w:t>
      </w:r>
      <w:r>
        <w:rPr>
          <w:rFonts w:ascii="Arial"/>
          <w:color w:val="000000"/>
          <w:sz w:val="24"/>
        </w:rPr>
        <w:t xml:space="preserve">) and </w:t>
      </w:r>
      <w:r>
        <w:rPr>
          <w:rFonts w:ascii="Arial"/>
          <w:color w:val="000000"/>
          <w:sz w:val="24"/>
        </w:rPr>
        <w:t xml:space="preserve">ensuring </w:t>
      </w:r>
      <w:r>
        <w:rPr>
          <w:rFonts w:ascii="Arial"/>
          <w:color w:val="000000"/>
          <w:sz w:val="24"/>
        </w:rPr>
        <w:t xml:space="preserve">that the development meets the </w:t>
      </w:r>
      <w:r>
        <w:rPr>
          <w:rFonts w:ascii="Arial"/>
          <w:color w:val="000000"/>
          <w:sz w:val="24"/>
        </w:rPr>
        <w:t xml:space="preserve">National Disability Insurance Scheme Design Standards </w:t>
      </w:r>
      <w:r>
        <w:rPr>
          <w:rFonts w:ascii="Arial"/>
          <w:color w:val="000000"/>
          <w:sz w:val="24"/>
        </w:rPr>
        <w:t>and SDA Guidelines. In Sch 2 to the Contract the contract price</w:t>
      </w:r>
      <w:r>
        <w:rPr>
          <w:rFonts w:ascii="Arial"/>
          <w:color w:val="000000"/>
          <w:sz w:val="24"/>
        </w:rPr>
        <w:t xml:space="preserve"> </w:t>
      </w:r>
      <w:r>
        <w:rPr>
          <w:rFonts w:ascii="Arial"/>
          <w:color w:val="000000"/>
          <w:sz w:val="24"/>
        </w:rPr>
        <w:t>i</w:t>
      </w:r>
      <w:r>
        <w:rPr>
          <w:rFonts w:ascii="Arial"/>
          <w:color w:val="000000"/>
          <w:sz w:val="24"/>
        </w:rPr>
        <w:t>s identified as $13,944,595. The date for commencement of construction under Sch 3 was 2 June 2025. Clause (c) of Sch 2 is in the following terms:</w:t>
      </w:r>
    </w:p>
    <w:p>
      <w:pPr>
        <w:pStyle w:val="CaselawQuote"/>
        <w:spacing w:before="150" w:after="150"/>
        <w:ind w:left="1350"/>
        <w:jc w:val="left"/>
      </w:pPr>
      <w:r>
        <w:rPr>
          <w:rFonts w:ascii="Arial"/>
          <w:b/>
          <w:color w:val="000000"/>
          <w:sz w:val="22"/>
        </w:rPr>
        <w:t>Progress claims &amp; payments (refer clause 15(b))</w:t>
      </w:r>
    </w:p>
    <w:p>
      <w:pPr>
        <w:pStyle w:val="CaselawQuote"/>
        <w:spacing w:before="150" w:after="150"/>
        <w:ind w:left="1350"/>
        <w:jc w:val="left"/>
      </w:pPr>
      <w:r>
        <w:rPr>
          <w:rFonts w:ascii="Arial"/>
          <w:color w:val="000000"/>
          <w:sz w:val="22"/>
        </w:rPr>
        <w:t>(i)</w:t>
      </w:r>
      <w:r>
        <w:rPr>
          <w:rFonts w:ascii="Arial"/>
          <w:color w:val="000000"/>
          <w:sz w:val="22"/>
        </w:rPr>
        <w:t>   </w:t>
      </w:r>
      <w:r>
        <w:rPr>
          <w:rFonts w:ascii="Arial"/>
          <w:b/>
          <w:color w:val="000000"/>
          <w:sz w:val="22"/>
        </w:rPr>
        <w:t xml:space="preserve">Payment claims </w:t>
      </w:r>
      <w:r>
        <w:rPr>
          <w:rFonts w:ascii="Arial"/>
          <w:color w:val="000000"/>
          <w:sz w:val="22"/>
        </w:rPr>
        <w:t>are to be made on the due date which is determined by the following:</w:t>
      </w:r>
    </w:p>
    <w:p>
      <w:pPr>
        <w:pStyle w:val="CaselawQuote0"/>
        <w:spacing w:before="150" w:after="150"/>
        <w:ind w:left="2100"/>
        <w:jc w:val="left"/>
      </w:pPr>
      <w:r>
        <w:rPr>
          <w:rFonts w:ascii="Arial"/>
          <w:color w:val="000000"/>
          <w:sz w:val="22"/>
        </w:rPr>
        <w:t>(A)</w:t>
      </w:r>
      <w:r>
        <w:rPr>
          <w:rFonts w:ascii="Arial"/>
          <w:color w:val="000000"/>
          <w:sz w:val="22"/>
        </w:rPr>
        <w:t>   </w:t>
      </w:r>
      <w:r>
        <w:rPr>
          <w:rFonts w:ascii="Arial"/>
          <w:color w:val="000000"/>
          <w:sz w:val="22"/>
        </w:rPr>
        <w:t>every …… days from commencement of work; or</w:t>
      </w:r>
    </w:p>
    <w:p>
      <w:pPr>
        <w:pStyle w:val="CaselawQuote0"/>
        <w:spacing w:before="150" w:after="150"/>
        <w:ind w:left="2100"/>
        <w:jc w:val="left"/>
      </w:pPr>
      <w:r>
        <w:rPr>
          <w:rFonts w:ascii="Arial"/>
          <w:color w:val="000000"/>
          <w:sz w:val="22"/>
        </w:rPr>
        <w:t>(B)</w:t>
      </w:r>
      <w:r>
        <w:rPr>
          <w:rFonts w:ascii="Arial"/>
          <w:color w:val="000000"/>
          <w:sz w:val="22"/>
        </w:rPr>
        <w:t>   </w:t>
      </w:r>
      <w:r>
        <w:rPr>
          <w:rFonts w:ascii="Arial"/>
          <w:color w:val="000000"/>
          <w:sz w:val="22"/>
        </w:rPr>
        <w:t>on or before the 21 [</w:t>
      </w:r>
      <w:r>
        <w:rPr>
          <w:rFonts w:ascii="Arial"/>
          <w:i/>
          <w:color w:val="000000"/>
          <w:sz w:val="22"/>
        </w:rPr>
        <w:t>sic</w:t>
      </w:r>
      <w:r>
        <w:rPr>
          <w:rFonts w:ascii="Arial"/>
          <w:color w:val="000000"/>
          <w:sz w:val="22"/>
        </w:rPr>
        <w:t>] day of the month.</w:t>
      </w:r>
    </w:p>
    <w:p>
      <w:pPr>
        <w:pStyle w:val="CaselawQuote"/>
        <w:spacing w:before="150" w:after="150"/>
        <w:ind w:left="1350"/>
        <w:jc w:val="left"/>
      </w:pPr>
      <w:r>
        <w:rPr>
          <w:rFonts w:ascii="Arial"/>
          <w:color w:val="000000"/>
          <w:sz w:val="22"/>
        </w:rPr>
        <w:t xml:space="preserve">(ii) </w:t>
      </w:r>
      <w:r>
        <w:rPr>
          <w:rFonts w:ascii="Arial"/>
          <w:color w:val="000000"/>
          <w:sz w:val="22"/>
        </w:rPr>
        <w:t>   </w:t>
      </w:r>
      <w:r>
        <w:rPr>
          <w:rFonts w:ascii="Arial"/>
          <w:color w:val="000000"/>
          <w:sz w:val="22"/>
        </w:rPr>
        <w:t xml:space="preserve">Payment of the claim, as agreed or approved, will be </w:t>
      </w:r>
      <w:r>
        <w:rPr>
          <w:rFonts w:ascii="Arial"/>
          <w:color w:val="000000"/>
          <w:sz w:val="22"/>
        </w:rPr>
        <w:t>made:-</w:t>
      </w:r>
    </w:p>
    <w:p>
      <w:pPr>
        <w:pStyle w:val="CaselawQuote0"/>
        <w:spacing w:before="150" w:after="150"/>
        <w:ind w:left="2100"/>
        <w:jc w:val="left"/>
      </w:pPr>
      <w:r>
        <w:rPr>
          <w:rFonts w:ascii="Arial"/>
          <w:color w:val="000000"/>
          <w:sz w:val="22"/>
        </w:rPr>
        <w:t>(A)</w:t>
      </w:r>
      <w:r>
        <w:rPr>
          <w:rFonts w:ascii="Arial"/>
          <w:color w:val="000000"/>
          <w:sz w:val="22"/>
        </w:rPr>
        <w:t>   </w:t>
      </w:r>
      <w:r>
        <w:rPr>
          <w:rFonts w:ascii="Arial"/>
          <w:color w:val="000000"/>
          <w:sz w:val="22"/>
        </w:rPr>
        <w:t>…</w:t>
      </w:r>
      <w:r>
        <w:rPr>
          <w:rFonts w:ascii="Arial"/>
          <w:color w:val="000000"/>
          <w:sz w:val="22"/>
        </w:rPr>
        <w:t xml:space="preserve"> days after the payment claim is received; or</w:t>
      </w:r>
    </w:p>
    <w:p>
      <w:pPr>
        <w:pStyle w:val="CaselawQuote0"/>
        <w:spacing w:before="150" w:after="150"/>
        <w:ind w:left="2100"/>
        <w:jc w:val="left"/>
      </w:pPr>
      <w:r>
        <w:rPr>
          <w:rFonts w:ascii="Arial"/>
          <w:color w:val="000000"/>
          <w:sz w:val="22"/>
        </w:rPr>
        <w:t>(B)</w:t>
      </w:r>
      <w:r>
        <w:rPr>
          <w:rFonts w:ascii="Arial"/>
          <w:color w:val="000000"/>
          <w:sz w:val="22"/>
        </w:rPr>
        <w:t>   </w:t>
      </w:r>
      <w:r>
        <w:rPr>
          <w:rFonts w:ascii="Arial"/>
          <w:color w:val="000000"/>
          <w:sz w:val="22"/>
        </w:rPr>
        <w:t xml:space="preserve">by the last day of the next month after the </w:t>
      </w:r>
      <w:r>
        <w:rPr>
          <w:rFonts w:ascii="Arial"/>
          <w:b/>
          <w:color w:val="000000"/>
          <w:sz w:val="22"/>
        </w:rPr>
        <w:t xml:space="preserve">payment claim </w:t>
      </w:r>
      <w:r>
        <w:rPr>
          <w:rFonts w:ascii="Arial"/>
          <w:color w:val="000000"/>
          <w:sz w:val="22"/>
        </w:rPr>
        <w:t xml:space="preserve">is submitted provided the </w:t>
      </w:r>
      <w:r>
        <w:rPr>
          <w:rFonts w:ascii="Arial"/>
          <w:b/>
          <w:color w:val="000000"/>
          <w:sz w:val="22"/>
        </w:rPr>
        <w:t xml:space="preserve">payment claim </w:t>
      </w:r>
      <w:r>
        <w:rPr>
          <w:rFonts w:ascii="Arial"/>
          <w:color w:val="000000"/>
          <w:sz w:val="22"/>
        </w:rPr>
        <w:t>is submitted by the due date.</w:t>
      </w:r>
    </w:p>
    <w:p>
      <w:pPr>
        <w:pStyle w:val="CaselawQuote"/>
        <w:spacing w:before="150" w:after="150"/>
        <w:ind w:left="1350"/>
        <w:jc w:val="left"/>
      </w:pPr>
      <w:r>
        <w:rPr>
          <w:rFonts w:ascii="Arial"/>
          <w:color w:val="000000"/>
          <w:sz w:val="22"/>
        </w:rPr>
        <w:t>The parties are encouraged to make frequent and smaller claims and to agree on more regular and consequently smaller payments as this will improve cash flow and allow the work to be monitored and changed if necessary.</w:t>
      </w:r>
    </w:p>
    <w:p>
      <w:pPr>
        <w:pStyle w:val="CaselawNumbered10"/>
        <w:numPr>
          <w:ilvl w:val="0"/>
          <w:numId w:val="24"/>
        </w:numPr>
        <w:spacing w:before="150" w:after="0"/>
        <w:ind w:left="600" w:hanging="600"/>
      </w:pPr>
      <w:r>
        <w:rPr>
          <w:rFonts w:ascii="Arial"/>
          <w:color w:val="000000"/>
          <w:sz w:val="24"/>
        </w:rPr>
        <w:t xml:space="preserve">The heading to this clause </w:t>
      </w:r>
      <w:r>
        <w:rPr>
          <w:rFonts w:ascii="Arial"/>
          <w:color w:val="000000"/>
          <w:sz w:val="24"/>
        </w:rPr>
        <w:t>refers</w:t>
      </w:r>
      <w:r>
        <w:rPr>
          <w:rFonts w:ascii="Arial"/>
          <w:color w:val="000000"/>
          <w:sz w:val="24"/>
        </w:rPr>
        <w:t xml:space="preserve"> </w:t>
      </w:r>
      <w:r>
        <w:rPr>
          <w:rFonts w:ascii="Arial"/>
          <w:color w:val="000000"/>
          <w:sz w:val="24"/>
        </w:rPr>
        <w:t xml:space="preserve">to </w:t>
      </w:r>
      <w:r>
        <w:rPr>
          <w:rFonts w:ascii="Arial"/>
          <w:color w:val="000000"/>
          <w:sz w:val="24"/>
        </w:rPr>
        <w:t>“</w:t>
      </w:r>
      <w:r>
        <w:rPr>
          <w:rFonts w:ascii="Arial"/>
          <w:color w:val="000000"/>
          <w:sz w:val="24"/>
        </w:rPr>
        <w:t>clause 15(b)</w:t>
      </w:r>
      <w:r>
        <w:rPr>
          <w:rFonts w:ascii="Arial"/>
          <w:color w:val="000000"/>
          <w:sz w:val="24"/>
        </w:rPr>
        <w:t>”</w:t>
      </w:r>
      <w:r>
        <w:rPr>
          <w:rFonts w:ascii="Arial"/>
          <w:color w:val="000000"/>
          <w:sz w:val="24"/>
        </w:rPr>
        <w:t xml:space="preserve">. That is </w:t>
      </w:r>
      <w:r>
        <w:rPr>
          <w:rFonts w:ascii="Arial"/>
          <w:color w:val="000000"/>
          <w:sz w:val="24"/>
        </w:rPr>
        <w:t xml:space="preserve">evidently </w:t>
      </w:r>
      <w:r>
        <w:rPr>
          <w:rFonts w:ascii="Arial"/>
          <w:color w:val="000000"/>
          <w:sz w:val="24"/>
        </w:rPr>
        <w:t xml:space="preserve">a reference to the clause of that number within the </w:t>
      </w:r>
      <w:r>
        <w:rPr>
          <w:rFonts w:ascii="Arial"/>
          <w:color w:val="000000"/>
          <w:sz w:val="24"/>
        </w:rPr>
        <w:t>“</w:t>
      </w:r>
      <w:r>
        <w:rPr>
          <w:rFonts w:ascii="Arial"/>
          <w:color w:val="000000"/>
          <w:sz w:val="24"/>
        </w:rPr>
        <w:t>Conditions of Agreement</w:t>
      </w:r>
      <w:r>
        <w:rPr>
          <w:rFonts w:ascii="Arial"/>
          <w:color w:val="000000"/>
          <w:sz w:val="24"/>
        </w:rPr>
        <w:t xml:space="preserve">” </w:t>
      </w:r>
      <w:r>
        <w:rPr>
          <w:rFonts w:ascii="Arial"/>
          <w:color w:val="000000"/>
          <w:sz w:val="24"/>
        </w:rPr>
        <w:t>that formed part of the Contract. Clause 15 relevantly provides:</w:t>
      </w:r>
    </w:p>
    <w:p>
      <w:pPr>
        <w:pStyle w:val="CaselawQuote"/>
        <w:spacing w:before="150" w:after="150"/>
        <w:ind w:left="1350"/>
        <w:jc w:val="left"/>
      </w:pPr>
      <w:r>
        <w:rPr>
          <w:rFonts w:ascii="Arial"/>
          <w:b/>
          <w:color w:val="000000"/>
          <w:sz w:val="22"/>
        </w:rPr>
        <w:t>15.</w:t>
      </w:r>
      <w:r>
        <w:rPr>
          <w:rFonts w:ascii="Arial"/>
          <w:b/>
          <w:color w:val="000000"/>
          <w:sz w:val="22"/>
        </w:rPr>
        <w:t>   </w:t>
      </w:r>
      <w:r>
        <w:rPr>
          <w:rFonts w:ascii="Arial"/>
          <w:b/>
          <w:color w:val="000000"/>
          <w:sz w:val="22"/>
        </w:rPr>
        <w:t>Deposit &amp; progress payments</w:t>
      </w:r>
    </w:p>
    <w:p>
      <w:pPr>
        <w:pStyle w:val="CaselawQuote"/>
        <w:spacing w:before="150" w:after="150"/>
        <w:ind w:left="1350"/>
        <w:jc w:val="left"/>
      </w:pPr>
      <w:r>
        <w:rPr>
          <w:rFonts w:ascii="Arial"/>
          <w:color w:val="000000"/>
          <w:sz w:val="22"/>
        </w:rPr>
        <w:t>…</w:t>
      </w:r>
    </w:p>
    <w:p>
      <w:pPr>
        <w:pStyle w:val="CaselawQuote"/>
        <w:spacing w:before="150" w:after="150"/>
        <w:ind w:left="1350"/>
        <w:jc w:val="left"/>
      </w:pPr>
      <w:r>
        <w:rPr>
          <w:rFonts w:ascii="Arial"/>
          <w:color w:val="000000"/>
          <w:sz w:val="22"/>
        </w:rPr>
        <w:t>(b)</w:t>
      </w:r>
      <w:r>
        <w:rPr>
          <w:rFonts w:ascii="Arial"/>
          <w:color w:val="000000"/>
          <w:sz w:val="22"/>
        </w:rPr>
        <w:t>   </w:t>
      </w:r>
      <w:r>
        <w:rPr>
          <w:rFonts w:ascii="Arial"/>
          <w:color w:val="000000"/>
          <w:sz w:val="22"/>
        </w:rPr>
        <w:t xml:space="preserve">The contract price or sum is to be claimed and paid in accordance with the timetable described in </w:t>
      </w:r>
      <w:r>
        <w:rPr>
          <w:rFonts w:ascii="Arial"/>
          <w:b/>
          <w:color w:val="000000"/>
          <w:sz w:val="22"/>
        </w:rPr>
        <w:t>Schedule 2 item (c)</w:t>
      </w:r>
      <w:r>
        <w:rPr>
          <w:rFonts w:ascii="Arial"/>
          <w:color w:val="000000"/>
          <w:sz w:val="22"/>
        </w:rPr>
        <w:t>.</w:t>
      </w:r>
    </w:p>
    <w:p>
      <w:pPr>
        <w:pStyle w:val="CaselawQuote"/>
        <w:spacing w:before="150" w:after="150"/>
        <w:ind w:left="1350"/>
        <w:jc w:val="left"/>
      </w:pPr>
      <w:r>
        <w:rPr>
          <w:rFonts w:ascii="Arial"/>
          <w:color w:val="000000"/>
          <w:sz w:val="22"/>
        </w:rPr>
        <w:t xml:space="preserve">If no period or date is identified at </w:t>
      </w:r>
      <w:r>
        <w:rPr>
          <w:rFonts w:ascii="Arial"/>
          <w:b/>
          <w:color w:val="000000"/>
          <w:sz w:val="22"/>
        </w:rPr>
        <w:t>Schedule 2 item</w:t>
      </w:r>
      <w:r>
        <w:rPr>
          <w:rFonts w:ascii="Arial"/>
          <w:b/>
          <w:color w:val="000000"/>
          <w:sz w:val="22"/>
        </w:rPr>
        <w:t xml:space="preserve"> (c)(ii) </w:t>
      </w:r>
      <w:r>
        <w:rPr>
          <w:rFonts w:ascii="Arial"/>
          <w:color w:val="000000"/>
          <w:sz w:val="22"/>
        </w:rPr>
        <w:t xml:space="preserve">for payment to the </w:t>
      </w:r>
      <w:r>
        <w:rPr>
          <w:rFonts w:ascii="Arial"/>
          <w:b/>
          <w:color w:val="000000"/>
          <w:sz w:val="22"/>
        </w:rPr>
        <w:t xml:space="preserve">Builder </w:t>
      </w:r>
      <w:r>
        <w:rPr>
          <w:rFonts w:ascii="Arial"/>
          <w:color w:val="000000"/>
          <w:sz w:val="22"/>
        </w:rPr>
        <w:t>to be made then the</w:t>
      </w:r>
      <w:r>
        <w:rPr>
          <w:rFonts w:ascii="Arial"/>
          <w:color w:val="000000"/>
          <w:sz w:val="22"/>
        </w:rPr>
        <w:t xml:space="preserve"> period will be </w:t>
      </w:r>
      <w:r>
        <w:rPr>
          <w:rFonts w:ascii="Arial"/>
          <w:b/>
          <w:color w:val="000000"/>
          <w:sz w:val="22"/>
        </w:rPr>
        <w:t xml:space="preserve">five (5) business days </w:t>
      </w:r>
      <w:r>
        <w:rPr>
          <w:rFonts w:ascii="Arial"/>
          <w:color w:val="000000"/>
          <w:sz w:val="22"/>
        </w:rPr>
        <w:t>after a payment</w:t>
      </w:r>
      <w:r>
        <w:rPr>
          <w:rFonts w:ascii="Arial"/>
          <w:color w:val="000000"/>
          <w:sz w:val="22"/>
        </w:rPr>
        <w:t xml:space="preserve"> claim or request, which complies with </w:t>
      </w:r>
      <w:r>
        <w:rPr>
          <w:rFonts w:ascii="Arial"/>
          <w:b/>
          <w:color w:val="000000"/>
          <w:sz w:val="22"/>
        </w:rPr>
        <w:t>clause 15</w:t>
      </w:r>
      <w:r>
        <w:rPr>
          <w:rFonts w:ascii="Arial"/>
          <w:color w:val="000000"/>
          <w:sz w:val="22"/>
        </w:rPr>
        <w:t>, is</w:t>
      </w:r>
      <w:r>
        <w:rPr>
          <w:rFonts w:ascii="Arial"/>
          <w:color w:val="000000"/>
          <w:sz w:val="22"/>
        </w:rPr>
        <w:t xml:space="preserve"> made by the </w:t>
      </w:r>
      <w:r>
        <w:rPr>
          <w:rFonts w:ascii="Arial"/>
          <w:b/>
          <w:color w:val="000000"/>
          <w:sz w:val="22"/>
        </w:rPr>
        <w:t>Builder</w:t>
      </w:r>
      <w:r>
        <w:rPr>
          <w:rFonts w:ascii="Arial"/>
          <w:color w:val="000000"/>
          <w:sz w:val="22"/>
        </w:rPr>
        <w:t xml:space="preserve">. </w:t>
      </w:r>
    </w:p>
    <w:p>
      <w:pPr>
        <w:pStyle w:val="CaselawQuote"/>
        <w:spacing w:before="150" w:after="150"/>
        <w:ind w:left="1350"/>
        <w:jc w:val="left"/>
      </w:pPr>
      <w:r>
        <w:rPr>
          <w:rFonts w:ascii="Arial"/>
          <w:color w:val="000000"/>
          <w:sz w:val="22"/>
        </w:rPr>
        <w:t>(c)</w:t>
      </w:r>
      <w:r>
        <w:rPr>
          <w:rFonts w:ascii="Arial"/>
          <w:color w:val="000000"/>
          <w:sz w:val="22"/>
        </w:rPr>
        <w:t>   </w:t>
      </w:r>
      <w:r>
        <w:rPr>
          <w:rFonts w:ascii="Arial"/>
          <w:color w:val="000000"/>
          <w:sz w:val="22"/>
        </w:rPr>
        <w:t xml:space="preserve">A progress payment claim by the </w:t>
      </w:r>
      <w:r>
        <w:rPr>
          <w:rFonts w:ascii="Arial"/>
          <w:b/>
          <w:color w:val="000000"/>
          <w:sz w:val="22"/>
        </w:rPr>
        <w:t>Builder</w:t>
      </w:r>
      <w:r>
        <w:rPr>
          <w:rFonts w:ascii="Arial"/>
          <w:color w:val="000000"/>
          <w:sz w:val="22"/>
        </w:rPr>
        <w:t xml:space="preserve"> is to </w:t>
      </w:r>
      <w:r>
        <w:rPr>
          <w:rFonts w:ascii="Arial"/>
          <w:color w:val="000000"/>
          <w:sz w:val="22"/>
        </w:rPr>
        <w:t>show:-</w:t>
      </w:r>
    </w:p>
    <w:p>
      <w:pPr>
        <w:pStyle w:val="CaselawQuote0"/>
        <w:spacing w:before="150" w:after="150"/>
        <w:ind w:left="2100"/>
        <w:jc w:val="left"/>
      </w:pPr>
      <w:r>
        <w:rPr>
          <w:rFonts w:ascii="Arial"/>
          <w:color w:val="000000"/>
          <w:sz w:val="22"/>
        </w:rPr>
        <w:t>(i)</w:t>
      </w:r>
      <w:r>
        <w:rPr>
          <w:rFonts w:ascii="Arial"/>
          <w:color w:val="000000"/>
          <w:sz w:val="22"/>
        </w:rPr>
        <w:t>   </w:t>
      </w:r>
      <w:r>
        <w:rPr>
          <w:rFonts w:ascii="Arial"/>
          <w:color w:val="000000"/>
          <w:sz w:val="22"/>
        </w:rPr>
        <w:t xml:space="preserve">the value of the contract work performed at the date of the </w:t>
      </w:r>
      <w:r>
        <w:rPr>
          <w:rFonts w:ascii="Arial"/>
          <w:color w:val="000000"/>
          <w:sz w:val="22"/>
        </w:rPr>
        <w:t>claim;</w:t>
      </w:r>
    </w:p>
    <w:p>
      <w:pPr>
        <w:pStyle w:val="CaselawQuote0"/>
        <w:spacing w:before="150" w:after="150"/>
        <w:ind w:left="2100"/>
        <w:jc w:val="left"/>
      </w:pPr>
      <w:r>
        <w:rPr>
          <w:rFonts w:ascii="Arial"/>
          <w:color w:val="000000"/>
          <w:sz w:val="22"/>
        </w:rPr>
        <w:t>(ii)</w:t>
      </w:r>
      <w:r>
        <w:rPr>
          <w:rFonts w:ascii="Arial"/>
          <w:color w:val="000000"/>
          <w:sz w:val="22"/>
        </w:rPr>
        <w:t>   </w:t>
      </w:r>
      <w:r>
        <w:rPr>
          <w:rFonts w:ascii="Arial"/>
          <w:color w:val="000000"/>
          <w:sz w:val="22"/>
        </w:rPr>
        <w:t xml:space="preserve">the value and brief description of any </w:t>
      </w:r>
      <w:r>
        <w:rPr>
          <w:rFonts w:ascii="Arial"/>
          <w:color w:val="000000"/>
          <w:sz w:val="22"/>
        </w:rPr>
        <w:t>variations;</w:t>
      </w:r>
    </w:p>
    <w:p>
      <w:pPr>
        <w:pStyle w:val="CaselawQuote0"/>
        <w:spacing w:before="150" w:after="150"/>
        <w:ind w:left="2100"/>
        <w:jc w:val="left"/>
      </w:pPr>
      <w:r>
        <w:rPr>
          <w:rFonts w:ascii="Arial"/>
          <w:color w:val="000000"/>
          <w:sz w:val="22"/>
        </w:rPr>
        <w:t>(iii)</w:t>
      </w:r>
      <w:r>
        <w:rPr>
          <w:rFonts w:ascii="Arial"/>
          <w:color w:val="000000"/>
          <w:sz w:val="22"/>
        </w:rPr>
        <w:t>   </w:t>
      </w:r>
      <w:r>
        <w:rPr>
          <w:rFonts w:ascii="Arial"/>
          <w:color w:val="000000"/>
          <w:sz w:val="22"/>
        </w:rPr>
        <w:t xml:space="preserve">any other adjustments under the provisions of the </w:t>
      </w:r>
      <w:r>
        <w:rPr>
          <w:rFonts w:ascii="Arial"/>
          <w:color w:val="000000"/>
          <w:sz w:val="22"/>
        </w:rPr>
        <w:t>Contract;</w:t>
      </w:r>
    </w:p>
    <w:p>
      <w:pPr>
        <w:pStyle w:val="CaselawQuote0"/>
        <w:spacing w:before="150" w:after="150"/>
        <w:ind w:left="2100"/>
        <w:jc w:val="left"/>
      </w:pPr>
      <w:r>
        <w:rPr>
          <w:rFonts w:ascii="Arial"/>
          <w:color w:val="000000"/>
          <w:sz w:val="22"/>
        </w:rPr>
        <w:t>(iv)</w:t>
      </w:r>
      <w:r>
        <w:rPr>
          <w:rFonts w:ascii="Arial"/>
          <w:color w:val="000000"/>
          <w:sz w:val="22"/>
        </w:rPr>
        <w:t>   </w:t>
      </w:r>
      <w:r>
        <w:rPr>
          <w:rFonts w:ascii="Arial"/>
          <w:color w:val="000000"/>
          <w:sz w:val="22"/>
        </w:rPr>
        <w:t xml:space="preserve">the amount previously paid by the </w:t>
      </w:r>
      <w:r>
        <w:rPr>
          <w:rFonts w:ascii="Arial"/>
          <w:b/>
          <w:color w:val="000000"/>
          <w:sz w:val="22"/>
        </w:rPr>
        <w:t>Owner</w:t>
      </w:r>
      <w:r>
        <w:rPr>
          <w:rFonts w:ascii="Arial"/>
          <w:color w:val="000000"/>
          <w:sz w:val="22"/>
        </w:rPr>
        <w:t>;</w:t>
      </w:r>
    </w:p>
    <w:p>
      <w:pPr>
        <w:pStyle w:val="CaselawQuote0"/>
        <w:spacing w:before="150" w:after="150"/>
        <w:ind w:left="2100"/>
        <w:jc w:val="left"/>
      </w:pPr>
      <w:r>
        <w:rPr>
          <w:rFonts w:ascii="Arial"/>
          <w:color w:val="000000"/>
          <w:sz w:val="22"/>
        </w:rPr>
        <w:t>(v)</w:t>
      </w:r>
      <w:r>
        <w:rPr>
          <w:rFonts w:ascii="Arial"/>
          <w:color w:val="000000"/>
          <w:sz w:val="22"/>
        </w:rPr>
        <w:t>   </w:t>
      </w:r>
      <w:r>
        <w:rPr>
          <w:rFonts w:ascii="Arial"/>
          <w:color w:val="000000"/>
          <w:sz w:val="22"/>
        </w:rPr>
        <w:t xml:space="preserve">the amount claimed by the </w:t>
      </w:r>
      <w:r>
        <w:rPr>
          <w:rFonts w:ascii="Arial"/>
          <w:b/>
          <w:color w:val="000000"/>
          <w:sz w:val="22"/>
        </w:rPr>
        <w:t>Builder</w:t>
      </w:r>
      <w:r>
        <w:rPr>
          <w:rFonts w:ascii="Arial"/>
          <w:color w:val="000000"/>
          <w:sz w:val="22"/>
        </w:rPr>
        <w:t xml:space="preserve"> being the difference BETWEEN the total of </w:t>
      </w:r>
      <w:r>
        <w:rPr>
          <w:rFonts w:ascii="Arial"/>
          <w:b/>
          <w:color w:val="000000"/>
          <w:sz w:val="22"/>
        </w:rPr>
        <w:t>paragraphs (i), (ii) and (iii) AND paragraph (iv)</w:t>
      </w:r>
      <w:r>
        <w:rPr>
          <w:rFonts w:ascii="Arial"/>
          <w:color w:val="000000"/>
          <w:sz w:val="22"/>
        </w:rPr>
        <w:t>; and</w:t>
      </w:r>
    </w:p>
    <w:p>
      <w:pPr>
        <w:pStyle w:val="CaselawQuote0"/>
        <w:spacing w:before="150" w:after="150"/>
        <w:ind w:left="2100"/>
        <w:jc w:val="left"/>
      </w:pPr>
      <w:r>
        <w:rPr>
          <w:rFonts w:ascii="Arial"/>
          <w:color w:val="000000"/>
          <w:sz w:val="22"/>
        </w:rPr>
        <w:t>(vi)</w:t>
      </w:r>
      <w:r>
        <w:rPr>
          <w:rFonts w:ascii="Arial"/>
          <w:color w:val="000000"/>
          <w:sz w:val="22"/>
        </w:rPr>
        <w:t>   </w:t>
      </w:r>
      <w:r>
        <w:rPr>
          <w:rFonts w:ascii="Arial"/>
          <w:color w:val="000000"/>
          <w:sz w:val="22"/>
        </w:rPr>
        <w:t>the proper GST charge relevant to the works to which the claim relates.</w:t>
      </w:r>
    </w:p>
    <w:p>
      <w:pPr>
        <w:pStyle w:val="CaselawQuote"/>
        <w:spacing w:before="150" w:after="150"/>
        <w:ind w:left="1350"/>
        <w:jc w:val="left"/>
      </w:pPr>
      <w:r>
        <w:rPr>
          <w:rFonts w:ascii="Arial"/>
          <w:color w:val="000000"/>
          <w:sz w:val="22"/>
        </w:rPr>
        <w:t>…</w:t>
      </w:r>
    </w:p>
    <w:p>
      <w:pPr>
        <w:pStyle w:val="CaselawQuote"/>
        <w:spacing w:before="150" w:after="150"/>
        <w:ind w:left="1350"/>
        <w:jc w:val="left"/>
      </w:pPr>
      <w:r>
        <w:rPr>
          <w:rFonts w:ascii="Arial"/>
          <w:color w:val="000000"/>
          <w:sz w:val="22"/>
        </w:rPr>
        <w:t>(f)</w:t>
      </w:r>
      <w:r>
        <w:rPr>
          <w:rFonts w:ascii="Arial"/>
          <w:color w:val="000000"/>
          <w:sz w:val="22"/>
        </w:rPr>
        <w:t>   </w:t>
      </w:r>
      <w:r>
        <w:rPr>
          <w:rFonts w:ascii="Arial"/>
          <w:color w:val="000000"/>
          <w:sz w:val="22"/>
        </w:rPr>
        <w:t xml:space="preserve">The making of any progress payment to the </w:t>
      </w:r>
      <w:r>
        <w:rPr>
          <w:rFonts w:ascii="Arial"/>
          <w:b/>
          <w:color w:val="000000"/>
          <w:sz w:val="22"/>
        </w:rPr>
        <w:t>Builder</w:t>
      </w:r>
      <w:r>
        <w:rPr>
          <w:rFonts w:ascii="Arial"/>
          <w:color w:val="000000"/>
          <w:sz w:val="22"/>
        </w:rPr>
        <w:t xml:space="preserve"> is to be taken as payment on account.</w:t>
      </w:r>
    </w:p>
    <w:p>
      <w:pPr>
        <w:pStyle w:val="CaselawQuote"/>
        <w:spacing w:before="150" w:after="150"/>
        <w:ind w:left="1350"/>
        <w:jc w:val="left"/>
      </w:pPr>
      <w:r>
        <w:rPr>
          <w:rFonts w:ascii="Arial"/>
          <w:color w:val="000000"/>
          <w:sz w:val="22"/>
        </w:rPr>
        <w:t>(g)</w:t>
      </w:r>
      <w:r>
        <w:rPr>
          <w:rFonts w:ascii="Arial"/>
          <w:color w:val="000000"/>
          <w:sz w:val="22"/>
        </w:rPr>
        <w:t>   </w:t>
      </w:r>
      <w:r>
        <w:rPr>
          <w:rFonts w:ascii="Arial"/>
          <w:color w:val="000000"/>
          <w:sz w:val="22"/>
        </w:rPr>
        <w:t xml:space="preserve">Should any progress payment or the final payment not be made within </w:t>
      </w:r>
      <w:r>
        <w:rPr>
          <w:rFonts w:ascii="Arial"/>
          <w:b/>
          <w:color w:val="000000"/>
          <w:sz w:val="22"/>
        </w:rPr>
        <w:t>ten (10) days</w:t>
      </w:r>
      <w:r>
        <w:rPr>
          <w:rFonts w:ascii="Arial"/>
          <w:color w:val="000000"/>
          <w:sz w:val="22"/>
        </w:rPr>
        <w:t xml:space="preserve"> after request the </w:t>
      </w:r>
      <w:r>
        <w:rPr>
          <w:rFonts w:ascii="Arial"/>
          <w:b/>
          <w:color w:val="000000"/>
          <w:sz w:val="22"/>
        </w:rPr>
        <w:t>Builder</w:t>
      </w:r>
      <w:r>
        <w:rPr>
          <w:rFonts w:ascii="Arial"/>
          <w:color w:val="000000"/>
          <w:sz w:val="22"/>
        </w:rPr>
        <w:t xml:space="preserve"> is entitled to interest thereon at the rate of </w:t>
      </w:r>
      <w:r>
        <w:rPr>
          <w:rFonts w:ascii="Arial"/>
          <w:b/>
          <w:color w:val="000000"/>
          <w:sz w:val="22"/>
        </w:rPr>
        <w:t>one per cent (1.00%) per month</w:t>
      </w:r>
      <w:r>
        <w:rPr>
          <w:rFonts w:ascii="Arial"/>
          <w:color w:val="000000"/>
          <w:sz w:val="22"/>
        </w:rPr>
        <w:t xml:space="preserve">. The </w:t>
      </w:r>
      <w:r>
        <w:rPr>
          <w:rFonts w:ascii="Arial"/>
          <w:b/>
          <w:color w:val="000000"/>
          <w:sz w:val="22"/>
        </w:rPr>
        <w:t>Builder</w:t>
      </w:r>
      <w:r>
        <w:rPr>
          <w:rFonts w:ascii="Arial"/>
          <w:color w:val="000000"/>
          <w:sz w:val="22"/>
        </w:rPr>
        <w:t xml:space="preserve"> may also act to suspend work and, as appropriate, terminate the contract. Refer </w:t>
      </w:r>
      <w:r>
        <w:rPr>
          <w:rFonts w:ascii="Arial"/>
          <w:b/>
          <w:color w:val="000000"/>
          <w:sz w:val="22"/>
        </w:rPr>
        <w:t>clauses 12</w:t>
      </w:r>
      <w:r>
        <w:rPr>
          <w:rFonts w:ascii="Arial"/>
          <w:color w:val="000000"/>
          <w:sz w:val="22"/>
        </w:rPr>
        <w:t xml:space="preserve"> and </w:t>
      </w:r>
      <w:r>
        <w:rPr>
          <w:rFonts w:ascii="Arial"/>
          <w:b/>
          <w:color w:val="000000"/>
          <w:sz w:val="22"/>
        </w:rPr>
        <w:t>27</w:t>
      </w:r>
      <w:r>
        <w:rPr>
          <w:rFonts w:ascii="Arial"/>
          <w:color w:val="000000"/>
          <w:sz w:val="22"/>
        </w:rPr>
        <w:t>.</w:t>
      </w:r>
    </w:p>
    <w:p>
      <w:pPr>
        <w:pStyle w:val="CaselawNumbered10"/>
        <w:numPr>
          <w:ilvl w:val="0"/>
          <w:numId w:val="25"/>
        </w:numPr>
        <w:spacing w:before="150" w:after="0"/>
        <w:ind w:left="600" w:hanging="600"/>
      </w:pPr>
      <w:r>
        <w:rPr>
          <w:rFonts w:ascii="Arial"/>
          <w:color w:val="000000"/>
          <w:sz w:val="24"/>
        </w:rPr>
        <w:t>Schedule 6 to the Contract contains the following special conditions:</w:t>
      </w:r>
    </w:p>
    <w:p>
      <w:pPr>
        <w:pStyle w:val="CaselawQuote"/>
        <w:spacing w:before="150" w:after="150"/>
        <w:ind w:left="1350"/>
        <w:jc w:val="left"/>
      </w:pPr>
      <w:r>
        <w:rPr>
          <w:rFonts w:ascii="Arial"/>
          <w:b/>
          <w:color w:val="000000"/>
          <w:sz w:val="22"/>
        </w:rPr>
        <w:t>Payment Claims</w:t>
      </w:r>
    </w:p>
    <w:p>
      <w:pPr>
        <w:pStyle w:val="CaselawQuote"/>
        <w:spacing w:before="150" w:after="150"/>
        <w:ind w:left="1350"/>
        <w:jc w:val="left"/>
      </w:pPr>
      <w:r>
        <w:rPr>
          <w:rFonts w:ascii="Arial"/>
          <w:color w:val="000000"/>
          <w:sz w:val="22"/>
        </w:rPr>
        <w:t xml:space="preserve">The Owner has the option to use a Quantity Surveyor to assess any Payment Claim provided by the Builder, at the cost of the Owner. As a variation to the contract sum, the Builder shall charge a sum of Five Thousand dollars ($5,000 + </w:t>
      </w:r>
      <w:r>
        <w:rPr>
          <w:rFonts w:ascii="Arial"/>
          <w:color w:val="000000"/>
          <w:sz w:val="22"/>
        </w:rPr>
        <w:t>gst) for any claim prepared and assessed by the Quantity Surveyor. The Builder shall not be obligated to provide Subcontractor Payment Claims as part of the Payment Claim assessment, due to the unreliable, unpunctual and non-conforming nature of Subcontractor submissions. The Builder shall provide a Subcontractor Statement to bestow the Owner and Quantity Surveyor as surety, surrounding the payments to its subcontractors and creditors, as is the case in conforming Payment Claims.</w:t>
      </w:r>
    </w:p>
    <w:p>
      <w:pPr>
        <w:pStyle w:val="CaselawQuote"/>
        <w:spacing w:before="150" w:after="150"/>
        <w:ind w:left="1350"/>
        <w:jc w:val="left"/>
      </w:pPr>
      <w:r>
        <w:rPr>
          <w:rFonts w:ascii="Arial"/>
          <w:color w:val="000000"/>
          <w:sz w:val="22"/>
        </w:rPr>
        <w:t>The Builders Payment Claims must be submitted to the Owners Quantity Surveyor on the Twenty First (21st) day of each month. The Quantity Surveyor must assess each Payment Claim within Five (5) working days of receipt of the Payment Claim, and provide by way of written notice, to the Owner and the Builder their assessment. The Owner must pay the Builder on the last day of that calendar month.</w:t>
      </w:r>
    </w:p>
    <w:p>
      <w:pPr>
        <w:pStyle w:val="CaselawQuote"/>
        <w:spacing w:before="150" w:after="150"/>
        <w:ind w:left="1350"/>
        <w:jc w:val="left"/>
      </w:pPr>
      <w:r>
        <w:rPr>
          <w:rFonts w:ascii="Arial"/>
          <w:color w:val="000000"/>
          <w:sz w:val="22"/>
        </w:rPr>
        <w:t>If the Quantity Surveyor does not approve the claim in full, then the Owner must pay the amount that is approved at the end of that calendar month, as per the Terms and Conditions of the Contract.</w:t>
      </w:r>
    </w:p>
    <w:p>
      <w:pPr>
        <w:pStyle w:val="CaselawQuote"/>
        <w:spacing w:before="150" w:after="150"/>
        <w:ind w:left="1350"/>
        <w:jc w:val="left"/>
      </w:pPr>
      <w:r>
        <w:rPr>
          <w:rFonts w:ascii="Arial"/>
          <w:color w:val="000000"/>
          <w:sz w:val="22"/>
        </w:rPr>
        <w:t>Any amount that is not approved as part of the Payment Claim by the Quantity Surveyor must be provided to the Owner and the Builder in writing, including reasons for withholding the portion of the Payment Claim, as assessed against the Builders detailed BOQ (bill of quantities).</w:t>
      </w:r>
    </w:p>
    <w:p>
      <w:pPr>
        <w:pStyle w:val="CaselawQuote"/>
        <w:spacing w:before="150" w:after="150"/>
        <w:ind w:left="1350"/>
        <w:jc w:val="left"/>
      </w:pPr>
      <w:r>
        <w:rPr>
          <w:rFonts w:ascii="Arial"/>
          <w:color w:val="000000"/>
          <w:sz w:val="22"/>
        </w:rPr>
        <w:t>…</w:t>
      </w:r>
    </w:p>
    <w:p>
      <w:pPr>
        <w:pStyle w:val="CaselawHeading3"/>
        <w:keepNext/>
        <w:spacing w:before="150" w:after="150" w:line="264"/>
        <w:ind w:left="0"/>
        <w:jc w:val="left"/>
      </w:pPr>
      <w:r>
        <w:rPr>
          <w:rFonts w:ascii="Arial"/>
        </w:rPr>
        <w:t>The nature of the accommodation</w:t>
      </w:r>
      <w:r>
        <w:rPr>
          <w:rFonts w:ascii="Arial"/>
        </w:rPr>
        <w:t xml:space="preserve"> to be constructed pursuant to the Contract</w:t>
      </w:r>
    </w:p>
    <w:p>
      <w:pPr>
        <w:pStyle w:val="CaselawNumbered10"/>
        <w:numPr>
          <w:ilvl w:val="0"/>
          <w:numId w:val="26"/>
        </w:numPr>
        <w:spacing w:before="150" w:after="0"/>
        <w:ind w:left="600" w:hanging="600"/>
      </w:pPr>
      <w:r>
        <w:rPr>
          <w:rFonts w:ascii="Arial"/>
          <w:color w:val="000000"/>
          <w:sz w:val="24"/>
        </w:rPr>
        <w:t>The Court was taken to approved plans for the buildings being constructed pursuant to the Contract. It was common ground that there is no relevant difference</w:t>
      </w:r>
      <w:r>
        <w:rPr>
          <w:rFonts w:ascii="Arial"/>
          <w:color w:val="000000"/>
          <w:sz w:val="24"/>
        </w:rPr>
        <w:t>,</w:t>
      </w:r>
      <w:r>
        <w:rPr>
          <w:rFonts w:ascii="Arial"/>
          <w:color w:val="000000"/>
          <w:sz w:val="24"/>
        </w:rPr>
        <w:t xml:space="preserve"> </w:t>
      </w:r>
      <w:r>
        <w:rPr>
          <w:rFonts w:ascii="Arial"/>
          <w:color w:val="000000"/>
          <w:sz w:val="24"/>
        </w:rPr>
        <w:t xml:space="preserve">for the purposes of resolving the issues on the application, between the four dwelling buildings which make up the development. </w:t>
      </w:r>
    </w:p>
    <w:p>
      <w:pPr>
        <w:pStyle w:val="CaselawNumbered10"/>
        <w:numPr>
          <w:ilvl w:val="0"/>
          <w:numId w:val="26"/>
        </w:numPr>
        <w:spacing w:before="150" w:after="0"/>
        <w:ind w:left="600" w:hanging="600"/>
      </w:pPr>
      <w:r>
        <w:rPr>
          <w:rFonts w:ascii="Arial"/>
          <w:color w:val="000000"/>
          <w:sz w:val="24"/>
        </w:rPr>
        <w:t xml:space="preserve">Each </w:t>
      </w:r>
      <w:r>
        <w:rPr>
          <w:rFonts w:ascii="Arial"/>
          <w:color w:val="000000"/>
          <w:sz w:val="24"/>
        </w:rPr>
        <w:t>building</w:t>
      </w:r>
      <w:r>
        <w:rPr>
          <w:rFonts w:ascii="Arial"/>
          <w:color w:val="000000"/>
          <w:sz w:val="24"/>
        </w:rPr>
        <w:t xml:space="preserve"> </w:t>
      </w:r>
      <w:r>
        <w:rPr>
          <w:rFonts w:ascii="Arial"/>
          <w:color w:val="000000"/>
          <w:sz w:val="24"/>
        </w:rPr>
        <w:t xml:space="preserve">contains </w:t>
      </w:r>
      <w:r>
        <w:rPr>
          <w:rFonts w:ascii="Arial"/>
          <w:color w:val="000000"/>
          <w:sz w:val="24"/>
        </w:rPr>
        <w:t>five</w:t>
      </w:r>
      <w:r>
        <w:rPr>
          <w:rFonts w:ascii="Arial"/>
          <w:color w:val="000000"/>
          <w:sz w:val="24"/>
        </w:rPr>
        <w:t xml:space="preserve"> </w:t>
      </w:r>
      <w:r>
        <w:rPr>
          <w:rFonts w:ascii="Arial"/>
          <w:color w:val="000000"/>
          <w:sz w:val="24"/>
        </w:rPr>
        <w:t>bedrooms, each with an ensuite bathroom</w:t>
      </w:r>
      <w:r>
        <w:rPr>
          <w:rFonts w:ascii="Arial"/>
          <w:color w:val="000000"/>
          <w:sz w:val="24"/>
        </w:rPr>
        <w:t xml:space="preserve"> </w:t>
      </w:r>
      <w:r>
        <w:rPr>
          <w:rFonts w:ascii="Arial"/>
          <w:color w:val="000000"/>
          <w:sz w:val="24"/>
        </w:rPr>
        <w:t>containing a toilet, shower and sink</w:t>
      </w:r>
      <w:r>
        <w:rPr>
          <w:rFonts w:ascii="Arial"/>
          <w:color w:val="000000"/>
          <w:sz w:val="24"/>
        </w:rPr>
        <w:t>. There are various common facilities within each building</w:t>
      </w:r>
      <w:r>
        <w:rPr>
          <w:rFonts w:ascii="Arial"/>
          <w:color w:val="000000"/>
          <w:sz w:val="24"/>
        </w:rPr>
        <w:t>. It is readily apparent that</w:t>
      </w:r>
      <w:r>
        <w:rPr>
          <w:rFonts w:ascii="Arial"/>
          <w:color w:val="000000"/>
          <w:sz w:val="24"/>
        </w:rPr>
        <w:t xml:space="preserve"> </w:t>
      </w:r>
      <w:r>
        <w:rPr>
          <w:rFonts w:ascii="Arial"/>
          <w:color w:val="000000"/>
          <w:sz w:val="24"/>
        </w:rPr>
        <w:t xml:space="preserve">many of </w:t>
      </w:r>
      <w:r>
        <w:rPr>
          <w:rFonts w:ascii="Arial"/>
          <w:color w:val="000000"/>
          <w:sz w:val="24"/>
        </w:rPr>
        <w:t>those facilities</w:t>
      </w:r>
      <w:r>
        <w:rPr>
          <w:rFonts w:ascii="Arial"/>
          <w:color w:val="000000"/>
          <w:sz w:val="24"/>
        </w:rPr>
        <w:t xml:space="preserve"> </w:t>
      </w:r>
      <w:r>
        <w:rPr>
          <w:rFonts w:ascii="Arial"/>
          <w:color w:val="000000"/>
          <w:sz w:val="24"/>
        </w:rPr>
        <w:t xml:space="preserve">have been incorporated </w:t>
      </w:r>
      <w:r>
        <w:rPr>
          <w:rFonts w:ascii="Arial"/>
          <w:color w:val="000000"/>
          <w:sz w:val="24"/>
        </w:rPr>
        <w:t xml:space="preserve">and designed </w:t>
      </w:r>
      <w:r>
        <w:rPr>
          <w:rFonts w:ascii="Arial"/>
          <w:color w:val="000000"/>
          <w:sz w:val="24"/>
        </w:rPr>
        <w:t>to address the special needs of the occupants and those providing disability support services to them. In addition to shared laundry, living, dining and kitchen facilities, there is a plunge pool/shared bath facility, nurses</w:t>
      </w:r>
      <w:r>
        <w:rPr>
          <w:rFonts w:ascii="Arial"/>
          <w:color w:val="000000"/>
          <w:sz w:val="24"/>
        </w:rPr>
        <w:t>’</w:t>
      </w:r>
      <w:r>
        <w:rPr>
          <w:rFonts w:ascii="Arial"/>
          <w:color w:val="000000"/>
          <w:sz w:val="24"/>
        </w:rPr>
        <w:t xml:space="preserve"> </w:t>
      </w:r>
      <w:r>
        <w:rPr>
          <w:rFonts w:ascii="Arial"/>
          <w:color w:val="000000"/>
          <w:sz w:val="24"/>
        </w:rPr>
        <w:t xml:space="preserve">quarters and a reception area. </w:t>
      </w:r>
    </w:p>
    <w:p>
      <w:pPr>
        <w:pStyle w:val="CaselawHeading3"/>
        <w:keepNext/>
        <w:spacing w:before="150" w:after="150" w:line="264"/>
        <w:ind w:left="0"/>
        <w:jc w:val="left"/>
      </w:pPr>
      <w:r>
        <w:rPr>
          <w:rFonts w:ascii="Arial"/>
        </w:rPr>
        <w:t>Payment Claim 3 sent on 21 August 2025</w:t>
      </w:r>
    </w:p>
    <w:p>
      <w:pPr>
        <w:pStyle w:val="CaselawNumbered10"/>
        <w:numPr>
          <w:ilvl w:val="0"/>
          <w:numId w:val="27"/>
        </w:numPr>
        <w:spacing w:before="150" w:after="0"/>
        <w:ind w:left="600" w:hanging="600"/>
      </w:pPr>
      <w:r>
        <w:rPr>
          <w:rFonts w:ascii="Arial"/>
          <w:color w:val="000000"/>
          <w:sz w:val="24"/>
        </w:rPr>
        <w:t xml:space="preserve">PC3 was sent by email from Black Sheep to Portelli on 21 August 2025. </w:t>
      </w:r>
      <w:r>
        <w:rPr>
          <w:rFonts w:ascii="Arial"/>
          <w:color w:val="000000"/>
          <w:sz w:val="24"/>
        </w:rPr>
        <w:t>The cover email relevantly refer</w:t>
      </w:r>
      <w:r>
        <w:rPr>
          <w:rFonts w:ascii="Arial"/>
          <w:color w:val="000000"/>
          <w:sz w:val="24"/>
        </w:rPr>
        <w:t>red</w:t>
      </w:r>
      <w:r>
        <w:rPr>
          <w:rFonts w:ascii="Arial"/>
          <w:color w:val="000000"/>
          <w:sz w:val="24"/>
        </w:rPr>
        <w:t xml:space="preserve"> </w:t>
      </w:r>
      <w:r>
        <w:rPr>
          <w:rFonts w:ascii="Arial"/>
          <w:color w:val="000000"/>
          <w:sz w:val="24"/>
        </w:rPr>
        <w:t xml:space="preserve">to a new </w:t>
      </w:r>
      <w:r>
        <w:rPr>
          <w:rFonts w:ascii="Arial"/>
          <w:color w:val="000000"/>
          <w:sz w:val="24"/>
        </w:rPr>
        <w:t xml:space="preserve">payment </w:t>
      </w:r>
      <w:r>
        <w:rPr>
          <w:rFonts w:ascii="Arial"/>
          <w:color w:val="000000"/>
          <w:sz w:val="24"/>
        </w:rPr>
        <w:t>claim in respect of the Gosford project</w:t>
      </w:r>
      <w:r>
        <w:rPr>
          <w:rFonts w:ascii="Arial"/>
          <w:color w:val="000000"/>
          <w:sz w:val="24"/>
        </w:rPr>
        <w:t xml:space="preserve">, </w:t>
      </w:r>
      <w:r>
        <w:rPr>
          <w:rFonts w:ascii="Arial"/>
          <w:color w:val="000000"/>
          <w:sz w:val="24"/>
        </w:rPr>
        <w:t xml:space="preserve">identified as </w:t>
      </w:r>
      <w:r>
        <w:rPr>
          <w:rFonts w:ascii="Arial"/>
          <w:color w:val="000000"/>
          <w:sz w:val="24"/>
        </w:rPr>
        <w:t>“</w:t>
      </w:r>
      <w:r>
        <w:rPr>
          <w:rFonts w:ascii="Arial"/>
          <w:color w:val="000000"/>
          <w:sz w:val="24"/>
        </w:rPr>
        <w:t>BS90</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T</w:t>
      </w:r>
      <w:r>
        <w:rPr>
          <w:rFonts w:ascii="Arial"/>
          <w:color w:val="000000"/>
          <w:sz w:val="24"/>
        </w:rPr>
        <w:t>he email explain</w:t>
      </w:r>
      <w:r>
        <w:rPr>
          <w:rFonts w:ascii="Arial"/>
          <w:color w:val="000000"/>
          <w:sz w:val="24"/>
        </w:rPr>
        <w:t>ed</w:t>
      </w:r>
      <w:r>
        <w:rPr>
          <w:rFonts w:ascii="Arial"/>
          <w:color w:val="000000"/>
          <w:sz w:val="24"/>
        </w:rPr>
        <w:t xml:space="preserve"> </w:t>
      </w:r>
      <w:r>
        <w:rPr>
          <w:rFonts w:ascii="Arial"/>
          <w:color w:val="000000"/>
          <w:sz w:val="24"/>
        </w:rPr>
        <w:t>that although ther</w:t>
      </w:r>
      <w:r>
        <w:rPr>
          <w:rFonts w:ascii="Arial"/>
          <w:color w:val="000000"/>
          <w:sz w:val="24"/>
        </w:rPr>
        <w:t xml:space="preserve">e </w:t>
      </w:r>
      <w:r>
        <w:rPr>
          <w:rFonts w:ascii="Arial"/>
          <w:color w:val="000000"/>
          <w:sz w:val="24"/>
        </w:rPr>
        <w:t>wa</w:t>
      </w:r>
      <w:r>
        <w:rPr>
          <w:rFonts w:ascii="Arial"/>
          <w:color w:val="000000"/>
          <w:sz w:val="24"/>
        </w:rPr>
        <w:t xml:space="preserve">s a </w:t>
      </w:r>
      <w:r>
        <w:rPr>
          <w:rFonts w:ascii="Arial"/>
          <w:color w:val="000000"/>
          <w:sz w:val="24"/>
        </w:rPr>
        <w:t>“</w:t>
      </w:r>
      <w:r>
        <w:rPr>
          <w:rFonts w:ascii="Arial"/>
          <w:color w:val="000000"/>
          <w:sz w:val="24"/>
        </w:rPr>
        <w:t>full invoice value</w:t>
      </w:r>
      <w:r>
        <w:rPr>
          <w:rFonts w:ascii="Arial"/>
          <w:color w:val="000000"/>
          <w:sz w:val="24"/>
        </w:rPr>
        <w:t xml:space="preserve">” </w:t>
      </w:r>
      <w:r>
        <w:rPr>
          <w:rFonts w:ascii="Arial"/>
          <w:color w:val="000000"/>
          <w:sz w:val="24"/>
        </w:rPr>
        <w:t>referred to in the attached material, the amount being sought as a progress payment was $480,004.21</w:t>
      </w:r>
      <w:r>
        <w:rPr>
          <w:rFonts w:ascii="Arial"/>
          <w:color w:val="000000"/>
          <w:sz w:val="24"/>
        </w:rPr>
        <w:t xml:space="preserve">. This was described as </w:t>
      </w:r>
      <w:r>
        <w:rPr>
          <w:rFonts w:ascii="Arial"/>
          <w:color w:val="000000"/>
          <w:sz w:val="24"/>
        </w:rPr>
        <w:t xml:space="preserve">the sum of $460,464.25, $14,039.96 and $5,500.00. </w:t>
      </w:r>
      <w:r>
        <w:rPr>
          <w:rFonts w:ascii="Arial"/>
          <w:color w:val="000000"/>
          <w:sz w:val="24"/>
        </w:rPr>
        <w:t xml:space="preserve">The source of each of those figures is explained below. </w:t>
      </w:r>
    </w:p>
    <w:p>
      <w:pPr>
        <w:pStyle w:val="CaselawNumbered10"/>
        <w:numPr>
          <w:ilvl w:val="0"/>
          <w:numId w:val="27"/>
        </w:numPr>
        <w:spacing w:before="150" w:after="0"/>
        <w:ind w:left="600" w:hanging="600"/>
      </w:pPr>
      <w:r>
        <w:rPr>
          <w:rFonts w:ascii="Arial"/>
          <w:color w:val="000000"/>
          <w:sz w:val="24"/>
        </w:rPr>
        <w:t>A number of</w:t>
      </w:r>
      <w:r>
        <w:rPr>
          <w:rFonts w:ascii="Arial"/>
          <w:color w:val="000000"/>
          <w:sz w:val="24"/>
        </w:rPr>
        <w:t xml:space="preserve"> </w:t>
      </w:r>
      <w:r>
        <w:rPr>
          <w:rFonts w:ascii="Arial"/>
          <w:color w:val="000000"/>
          <w:sz w:val="24"/>
        </w:rPr>
        <w:t>documents were attached to the email. One was a tax invoice</w:t>
      </w:r>
      <w:r>
        <w:rPr>
          <w:rFonts w:ascii="Arial"/>
          <w:color w:val="000000"/>
          <w:sz w:val="24"/>
        </w:rPr>
        <w:t>. The tax invoice contains the statement that</w:t>
      </w:r>
      <w:r>
        <w:rPr>
          <w:rFonts w:ascii="Arial"/>
          <w:color w:val="000000"/>
          <w:sz w:val="24"/>
        </w:rPr>
        <w:t xml:space="preserve"> </w:t>
      </w:r>
      <w:r>
        <w:rPr>
          <w:rFonts w:ascii="Arial"/>
          <w:color w:val="000000"/>
          <w:sz w:val="24"/>
        </w:rPr>
        <w:t>“</w:t>
      </w:r>
      <w:r>
        <w:rPr>
          <w:rFonts w:ascii="Arial"/>
          <w:color w:val="000000"/>
          <w:sz w:val="24"/>
        </w:rPr>
        <w:t xml:space="preserve">This payment claim is made under </w:t>
      </w:r>
      <w:r>
        <w:rPr>
          <w:rFonts w:ascii="Arial"/>
          <w:color w:val="000000"/>
          <w:sz w:val="24"/>
        </w:rPr>
        <w:t>‘</w:t>
      </w:r>
      <w:r>
        <w:rPr>
          <w:rFonts w:ascii="Arial"/>
          <w:color w:val="000000"/>
          <w:sz w:val="24"/>
        </w:rPr>
        <w:t>the Building and Construction Industry Security of Payment Act 1999</w:t>
      </w:r>
      <w:r>
        <w:rPr>
          <w:rFonts w:ascii="Arial"/>
          <w:color w:val="000000"/>
          <w:sz w:val="24"/>
        </w:rPr>
        <w:t>’</w:t>
      </w:r>
      <w:r>
        <w:rPr>
          <w:rFonts w:ascii="Arial"/>
          <w:color w:val="000000"/>
          <w:sz w:val="24"/>
        </w:rPr>
        <w:t>”</w:t>
      </w:r>
      <w:r>
        <w:rPr>
          <w:rFonts w:ascii="Arial"/>
          <w:color w:val="000000"/>
          <w:sz w:val="24"/>
        </w:rPr>
        <w:t xml:space="preserve">. The invoice </w:t>
      </w:r>
      <w:r>
        <w:rPr>
          <w:rFonts w:ascii="Arial"/>
          <w:color w:val="000000"/>
          <w:sz w:val="24"/>
        </w:rPr>
        <w:t>describes</w:t>
      </w:r>
      <w:r>
        <w:rPr>
          <w:rFonts w:ascii="Arial"/>
          <w:color w:val="000000"/>
          <w:sz w:val="24"/>
        </w:rPr>
        <w:t xml:space="preserve"> </w:t>
      </w:r>
      <w:r>
        <w:rPr>
          <w:rFonts w:ascii="Arial"/>
          <w:color w:val="000000"/>
          <w:sz w:val="24"/>
        </w:rPr>
        <w:t>a number of</w:t>
      </w:r>
      <w:r>
        <w:rPr>
          <w:rFonts w:ascii="Arial"/>
          <w:color w:val="000000"/>
          <w:sz w:val="24"/>
        </w:rPr>
        <w:t xml:space="preserve"> </w:t>
      </w:r>
      <w:r>
        <w:rPr>
          <w:rFonts w:ascii="Arial"/>
          <w:color w:val="000000"/>
          <w:sz w:val="24"/>
        </w:rPr>
        <w:t>line items with corresponding amounts. Relevantly, it includes the following items:</w:t>
      </w:r>
    </w:p>
    <w:p>
      <w:pPr>
        <w:pStyle w:val="CaselawNumbered1"/>
        <w:numPr>
          <w:ilvl w:val="0"/>
          <w:numId w:val="28"/>
        </w:numPr>
        <w:spacing w:before="150" w:after="0"/>
        <w:ind w:left="1350" w:hanging="750"/>
      </w:pPr>
      <w:r>
        <w:rPr>
          <w:rFonts w:ascii="Arial"/>
          <w:color w:val="000000"/>
          <w:sz w:val="24"/>
        </w:rPr>
        <w:t>“</w:t>
      </w:r>
      <w:r>
        <w:rPr>
          <w:rFonts w:ascii="Arial"/>
          <w:color w:val="000000"/>
          <w:sz w:val="24"/>
        </w:rPr>
        <w:t>Payment claim 3 for contract works (as per trade breakdown)</w:t>
      </w:r>
      <w:r>
        <w:rPr>
          <w:rFonts w:ascii="Arial"/>
          <w:color w:val="000000"/>
          <w:sz w:val="24"/>
        </w:rPr>
        <w:t>”</w:t>
      </w:r>
      <w:r>
        <w:rPr>
          <w:rFonts w:ascii="Arial"/>
          <w:color w:val="000000"/>
          <w:sz w:val="24"/>
        </w:rPr>
        <w:t xml:space="preserve">. The amount recorded against this item is $460,464.25, inclusive of </w:t>
      </w:r>
      <w:r>
        <w:rPr>
          <w:rFonts w:ascii="Arial"/>
          <w:color w:val="000000"/>
          <w:sz w:val="24"/>
        </w:rPr>
        <w:t>GST;</w:t>
      </w:r>
    </w:p>
    <w:p>
      <w:pPr>
        <w:pStyle w:val="CaselawNumbered1"/>
        <w:numPr>
          <w:ilvl w:val="0"/>
          <w:numId w:val="28"/>
        </w:numPr>
        <w:spacing w:before="150" w:after="0"/>
        <w:ind w:left="1350" w:hanging="750"/>
      </w:pPr>
      <w:r>
        <w:rPr>
          <w:rFonts w:ascii="Arial"/>
          <w:color w:val="000000"/>
          <w:sz w:val="24"/>
        </w:rPr>
        <w:t>“</w:t>
      </w:r>
      <w:r>
        <w:rPr>
          <w:rFonts w:ascii="Arial"/>
          <w:color w:val="000000"/>
          <w:sz w:val="24"/>
        </w:rPr>
        <w:t>Payment of shortfall of BS67</w:t>
      </w:r>
      <w:r>
        <w:rPr>
          <w:rFonts w:ascii="Arial"/>
          <w:color w:val="000000"/>
          <w:sz w:val="24"/>
        </w:rPr>
        <w:t>”</w:t>
      </w:r>
      <w:r>
        <w:rPr>
          <w:rFonts w:ascii="Arial"/>
          <w:color w:val="000000"/>
          <w:sz w:val="24"/>
        </w:rPr>
        <w:t>. The amount recorded against this item is $14,039.96, inclusive of GST;</w:t>
      </w:r>
      <w:r>
        <w:rPr>
          <w:rFonts w:ascii="Arial"/>
          <w:color w:val="000000"/>
          <w:sz w:val="24"/>
        </w:rPr>
        <w:t xml:space="preserve"> </w:t>
      </w:r>
      <w:r>
        <w:rPr>
          <w:rFonts w:ascii="Arial"/>
          <w:color w:val="000000"/>
          <w:sz w:val="24"/>
        </w:rPr>
        <w:t>and</w:t>
      </w:r>
    </w:p>
    <w:p>
      <w:pPr>
        <w:pStyle w:val="CaselawNumbered1"/>
        <w:numPr>
          <w:ilvl w:val="0"/>
          <w:numId w:val="28"/>
        </w:numPr>
        <w:spacing w:before="150" w:after="0"/>
        <w:ind w:left="1350" w:hanging="750"/>
      </w:pPr>
      <w:r>
        <w:rPr>
          <w:rFonts w:ascii="Arial"/>
          <w:color w:val="000000"/>
          <w:sz w:val="24"/>
        </w:rPr>
        <w:t>“</w:t>
      </w:r>
      <w:r>
        <w:rPr>
          <w:rFonts w:ascii="Arial"/>
          <w:color w:val="000000"/>
          <w:sz w:val="24"/>
        </w:rPr>
        <w:t xml:space="preserve">QS claim assessment (refer Schedule 6 </w:t>
      </w:r>
      <w:r>
        <w:rPr>
          <w:rFonts w:ascii="Arial"/>
          <w:color w:val="000000"/>
          <w:sz w:val="24"/>
        </w:rPr>
        <w:t xml:space="preserve">– </w:t>
      </w:r>
      <w:r>
        <w:rPr>
          <w:rFonts w:ascii="Arial"/>
          <w:color w:val="000000"/>
          <w:sz w:val="24"/>
        </w:rPr>
        <w:t>Special Conditions)</w:t>
      </w:r>
      <w:r>
        <w:rPr>
          <w:rFonts w:ascii="Arial"/>
          <w:color w:val="000000"/>
          <w:sz w:val="24"/>
        </w:rPr>
        <w:t>”</w:t>
      </w:r>
      <w:r>
        <w:rPr>
          <w:rFonts w:ascii="Arial"/>
          <w:color w:val="000000"/>
          <w:sz w:val="24"/>
        </w:rPr>
        <w:t xml:space="preserve">. The amount recorded against this item is $5,500.00, inclusive of GST. </w:t>
      </w:r>
      <w:r>
        <w:rPr>
          <w:rFonts w:ascii="Arial"/>
          <w:color w:val="000000"/>
          <w:sz w:val="24"/>
        </w:rPr>
        <w:t>Plainly enough, this is a reference to the contractual entitlement of the Builder to claim $5,500.00 for any claim prepared and assessed by the Quantity Surveyor.</w:t>
      </w:r>
    </w:p>
    <w:p>
      <w:pPr>
        <w:pStyle w:val="CaselawNumbered10"/>
        <w:numPr>
          <w:ilvl w:val="0"/>
          <w:numId w:val="29"/>
        </w:numPr>
        <w:spacing w:before="150" w:after="0"/>
        <w:ind w:left="600" w:hanging="600"/>
      </w:pPr>
      <w:r>
        <w:rPr>
          <w:rFonts w:ascii="Arial"/>
          <w:color w:val="000000"/>
          <w:sz w:val="24"/>
        </w:rPr>
        <w:t>It can be seen that these</w:t>
      </w:r>
      <w:r>
        <w:rPr>
          <w:rFonts w:ascii="Arial"/>
          <w:color w:val="000000"/>
          <w:sz w:val="24"/>
        </w:rPr>
        <w:t xml:space="preserve"> </w:t>
      </w:r>
      <w:r>
        <w:rPr>
          <w:rFonts w:ascii="Arial"/>
          <w:color w:val="000000"/>
          <w:sz w:val="24"/>
        </w:rPr>
        <w:t xml:space="preserve">amounts correspond to the </w:t>
      </w:r>
      <w:r>
        <w:rPr>
          <w:rFonts w:ascii="Arial"/>
          <w:color w:val="000000"/>
          <w:sz w:val="24"/>
        </w:rPr>
        <w:t>three amounts</w:t>
      </w:r>
      <w:r>
        <w:rPr>
          <w:rFonts w:ascii="Arial"/>
          <w:color w:val="000000"/>
          <w:sz w:val="24"/>
        </w:rPr>
        <w:t xml:space="preserve"> </w:t>
      </w:r>
      <w:r>
        <w:rPr>
          <w:rFonts w:ascii="Arial"/>
          <w:color w:val="000000"/>
          <w:sz w:val="24"/>
        </w:rPr>
        <w:t>referred to in the cover email as comprising</w:t>
      </w:r>
      <w:r>
        <w:rPr>
          <w:rFonts w:ascii="Arial"/>
          <w:color w:val="000000"/>
          <w:sz w:val="24"/>
        </w:rPr>
        <w:t xml:space="preserve"> </w:t>
      </w:r>
      <w:r>
        <w:rPr>
          <w:rFonts w:ascii="Arial"/>
          <w:color w:val="000000"/>
          <w:sz w:val="24"/>
        </w:rPr>
        <w:t xml:space="preserve">the total </w:t>
      </w:r>
      <w:r>
        <w:rPr>
          <w:rFonts w:ascii="Arial"/>
          <w:color w:val="000000"/>
          <w:sz w:val="24"/>
        </w:rPr>
        <w:t xml:space="preserve">claim </w:t>
      </w:r>
      <w:r>
        <w:rPr>
          <w:rFonts w:ascii="Arial"/>
          <w:color w:val="000000"/>
          <w:sz w:val="24"/>
        </w:rPr>
        <w:t>amount of $480,004.21</w:t>
      </w:r>
      <w:r>
        <w:rPr>
          <w:rFonts w:ascii="Arial"/>
          <w:color w:val="000000"/>
          <w:sz w:val="24"/>
        </w:rPr>
        <w:t xml:space="preserve">. </w:t>
      </w:r>
      <w:r>
        <w:rPr>
          <w:rFonts w:ascii="Arial"/>
          <w:color w:val="000000"/>
          <w:sz w:val="24"/>
        </w:rPr>
        <w:t xml:space="preserve"> </w:t>
      </w:r>
    </w:p>
    <w:p>
      <w:pPr>
        <w:pStyle w:val="CaselawNumbered10"/>
        <w:numPr>
          <w:ilvl w:val="0"/>
          <w:numId w:val="29"/>
        </w:numPr>
        <w:spacing w:before="150" w:after="0"/>
        <w:ind w:left="600" w:hanging="600"/>
      </w:pPr>
      <w:r>
        <w:rPr>
          <w:rFonts w:ascii="Arial"/>
          <w:color w:val="000000"/>
          <w:sz w:val="24"/>
        </w:rPr>
        <w:t xml:space="preserve">The tax invoice </w:t>
      </w:r>
      <w:r>
        <w:rPr>
          <w:rFonts w:ascii="Arial"/>
          <w:color w:val="000000"/>
          <w:sz w:val="24"/>
        </w:rPr>
        <w:t>serves to explain</w:t>
      </w:r>
      <w:r>
        <w:rPr>
          <w:rFonts w:ascii="Arial"/>
          <w:color w:val="000000"/>
          <w:sz w:val="24"/>
        </w:rPr>
        <w:t xml:space="preserve"> </w:t>
      </w:r>
      <w:r>
        <w:rPr>
          <w:rFonts w:ascii="Arial"/>
          <w:color w:val="000000"/>
          <w:sz w:val="24"/>
        </w:rPr>
        <w:t xml:space="preserve">the shortfall in respect of what is described as </w:t>
      </w:r>
      <w:r>
        <w:rPr>
          <w:rFonts w:ascii="Arial"/>
          <w:color w:val="000000"/>
          <w:sz w:val="24"/>
        </w:rPr>
        <w:t>“</w:t>
      </w:r>
      <w:r>
        <w:rPr>
          <w:rFonts w:ascii="Arial"/>
          <w:color w:val="000000"/>
          <w:sz w:val="24"/>
        </w:rPr>
        <w:t>BS67</w:t>
      </w:r>
      <w:r>
        <w:rPr>
          <w:rFonts w:ascii="Arial"/>
          <w:color w:val="000000"/>
          <w:sz w:val="24"/>
        </w:rPr>
        <w:t>”</w:t>
      </w:r>
      <w:r>
        <w:rPr>
          <w:rFonts w:ascii="Arial"/>
          <w:color w:val="000000"/>
          <w:sz w:val="24"/>
        </w:rPr>
        <w:t xml:space="preserve">. This is identified </w:t>
      </w:r>
      <w:r>
        <w:rPr>
          <w:rFonts w:ascii="Arial"/>
          <w:color w:val="000000"/>
          <w:sz w:val="24"/>
        </w:rPr>
        <w:t xml:space="preserve">in the tax invoice </w:t>
      </w:r>
      <w:r>
        <w:rPr>
          <w:rFonts w:ascii="Arial"/>
          <w:color w:val="000000"/>
          <w:sz w:val="24"/>
        </w:rPr>
        <w:t>as payment claim PC01, with the claim date of 8 April 2025.</w:t>
      </w:r>
      <w:r>
        <w:rPr>
          <w:rFonts w:ascii="Arial"/>
          <w:color w:val="000000"/>
          <w:sz w:val="24"/>
        </w:rPr>
        <w:t xml:space="preserve"> </w:t>
      </w:r>
      <w:r>
        <w:rPr>
          <w:rFonts w:ascii="Arial"/>
          <w:color w:val="000000"/>
          <w:sz w:val="24"/>
        </w:rPr>
        <w:t>The claim total for PC01 is recorded as $1,534,060.00 and there is a</w:t>
      </w:r>
      <w:r>
        <w:rPr>
          <w:rFonts w:ascii="Arial"/>
          <w:color w:val="000000"/>
          <w:sz w:val="24"/>
        </w:rPr>
        <w:t>n entry for</w:t>
      </w:r>
      <w:r>
        <w:rPr>
          <w:rFonts w:ascii="Arial"/>
          <w:color w:val="000000"/>
          <w:sz w:val="24"/>
        </w:rPr>
        <w:t xml:space="preserve"> </w:t>
      </w:r>
      <w:r>
        <w:rPr>
          <w:rFonts w:ascii="Arial"/>
          <w:color w:val="000000"/>
          <w:sz w:val="24"/>
        </w:rPr>
        <w:t>a payment on 30 June 2025 of $1,521,296.40. The difference between those amounts is $12,763.60. If GST is added, the amount becomes $14,039.96</w:t>
      </w:r>
      <w:r>
        <w:rPr>
          <w:rFonts w:ascii="Arial"/>
          <w:color w:val="000000"/>
          <w:sz w:val="24"/>
        </w:rPr>
        <w:t xml:space="preserve">, which is the amount described in the tax invoice </w:t>
      </w:r>
      <w:r>
        <w:rPr>
          <w:rFonts w:ascii="Arial"/>
          <w:color w:val="000000"/>
          <w:sz w:val="24"/>
        </w:rPr>
        <w:t xml:space="preserve">(and the cover email for PC3) </w:t>
      </w:r>
      <w:r>
        <w:rPr>
          <w:rFonts w:ascii="Arial"/>
          <w:color w:val="000000"/>
          <w:sz w:val="24"/>
        </w:rPr>
        <w:t>as the shortfall in respect of BS67</w:t>
      </w:r>
      <w:r>
        <w:rPr>
          <w:rFonts w:ascii="Arial"/>
          <w:color w:val="000000"/>
          <w:sz w:val="24"/>
        </w:rPr>
        <w:t>.</w:t>
      </w:r>
      <w:r>
        <w:rPr>
          <w:rFonts w:ascii="Arial"/>
          <w:color w:val="000000"/>
          <w:sz w:val="24"/>
        </w:rPr>
        <w:t xml:space="preserve"> </w:t>
      </w:r>
    </w:p>
    <w:p>
      <w:pPr>
        <w:pStyle w:val="CaselawNumbered10"/>
        <w:numPr>
          <w:ilvl w:val="0"/>
          <w:numId w:val="29"/>
        </w:numPr>
        <w:spacing w:before="150" w:after="0"/>
        <w:ind w:left="600" w:hanging="600"/>
      </w:pPr>
      <w:r>
        <w:rPr>
          <w:rFonts w:ascii="Arial"/>
          <w:color w:val="000000"/>
          <w:sz w:val="24"/>
        </w:rPr>
        <w:t>The</w:t>
      </w:r>
      <w:r>
        <w:rPr>
          <w:rFonts w:ascii="Arial"/>
          <w:color w:val="000000"/>
          <w:sz w:val="24"/>
        </w:rPr>
        <w:t xml:space="preserve"> </w:t>
      </w:r>
      <w:r>
        <w:rPr>
          <w:rFonts w:ascii="Arial"/>
          <w:color w:val="000000"/>
          <w:sz w:val="24"/>
        </w:rPr>
        <w:t xml:space="preserve">second attachment </w:t>
      </w:r>
      <w:r>
        <w:rPr>
          <w:rFonts w:ascii="Arial"/>
          <w:color w:val="000000"/>
          <w:sz w:val="24"/>
        </w:rPr>
        <w:t xml:space="preserve">to the email </w:t>
      </w:r>
      <w:r>
        <w:rPr>
          <w:rFonts w:ascii="Arial"/>
          <w:color w:val="000000"/>
          <w:sz w:val="24"/>
        </w:rPr>
        <w:t>was a subcontractor</w:t>
      </w:r>
      <w:r>
        <w:rPr>
          <w:rFonts w:ascii="Arial"/>
          <w:color w:val="000000"/>
          <w:sz w:val="24"/>
        </w:rPr>
        <w:t>’</w:t>
      </w:r>
      <w:r>
        <w:rPr>
          <w:rFonts w:ascii="Arial"/>
          <w:color w:val="000000"/>
          <w:sz w:val="24"/>
        </w:rPr>
        <w:t>s statement regarding worker</w:t>
      </w:r>
      <w:r>
        <w:rPr>
          <w:rFonts w:ascii="Arial"/>
          <w:color w:val="000000"/>
          <w:sz w:val="24"/>
        </w:rPr>
        <w:t>’</w:t>
      </w:r>
      <w:r>
        <w:rPr>
          <w:rFonts w:ascii="Arial"/>
          <w:color w:val="000000"/>
          <w:sz w:val="24"/>
        </w:rPr>
        <w:t>s</w:t>
      </w:r>
      <w:r>
        <w:rPr>
          <w:rFonts w:ascii="Arial"/>
          <w:color w:val="000000"/>
          <w:sz w:val="24"/>
        </w:rPr>
        <w:t xml:space="preserve"> </w:t>
      </w:r>
      <w:r>
        <w:rPr>
          <w:rFonts w:ascii="Arial"/>
          <w:color w:val="000000"/>
          <w:sz w:val="24"/>
        </w:rPr>
        <w:t xml:space="preserve">compensation, payroll tax and remuneration. It is described as a statement applying for work between 22 July 2025 and 21 August 2025, inclusive, which is the subject of the payment claim dated 21 </w:t>
      </w:r>
      <w:r>
        <w:rPr>
          <w:rFonts w:ascii="Arial"/>
          <w:color w:val="000000"/>
          <w:sz w:val="24"/>
        </w:rPr>
        <w:t>August</w:t>
      </w:r>
      <w:r>
        <w:rPr>
          <w:rFonts w:ascii="Arial"/>
          <w:color w:val="000000"/>
          <w:sz w:val="24"/>
        </w:rPr>
        <w:t xml:space="preserve"> </w:t>
      </w:r>
      <w:r>
        <w:rPr>
          <w:rFonts w:ascii="Arial"/>
          <w:color w:val="000000"/>
          <w:sz w:val="24"/>
        </w:rPr>
        <w:t>2025.</w:t>
      </w:r>
    </w:p>
    <w:p>
      <w:pPr>
        <w:pStyle w:val="CaselawNumbered10"/>
        <w:numPr>
          <w:ilvl w:val="0"/>
          <w:numId w:val="29"/>
        </w:numPr>
        <w:spacing w:before="150" w:after="0"/>
        <w:ind w:left="600" w:hanging="600"/>
      </w:pPr>
      <w:r>
        <w:rPr>
          <w:rFonts w:ascii="Arial"/>
          <w:color w:val="000000"/>
          <w:sz w:val="24"/>
        </w:rPr>
        <w:t>The</w:t>
      </w:r>
      <w:r>
        <w:rPr>
          <w:rFonts w:ascii="Arial"/>
          <w:color w:val="000000"/>
          <w:sz w:val="24"/>
        </w:rPr>
        <w:t xml:space="preserve"> </w:t>
      </w:r>
      <w:r>
        <w:rPr>
          <w:rFonts w:ascii="Arial"/>
          <w:color w:val="000000"/>
          <w:sz w:val="24"/>
        </w:rPr>
        <w:t xml:space="preserve">third attachment was </w:t>
      </w:r>
      <w:r>
        <w:rPr>
          <w:rFonts w:ascii="Arial"/>
          <w:color w:val="000000"/>
          <w:sz w:val="24"/>
        </w:rPr>
        <w:t>a</w:t>
      </w:r>
      <w:r>
        <w:rPr>
          <w:rFonts w:ascii="Arial"/>
          <w:color w:val="000000"/>
          <w:sz w:val="24"/>
        </w:rPr>
        <w:t xml:space="preserve"> </w:t>
      </w:r>
      <w:r>
        <w:rPr>
          <w:rFonts w:ascii="Arial"/>
          <w:color w:val="000000"/>
          <w:sz w:val="24"/>
        </w:rPr>
        <w:t xml:space="preserve">trade breakdown document. </w:t>
      </w:r>
      <w:r>
        <w:rPr>
          <w:rFonts w:ascii="Arial"/>
          <w:color w:val="000000"/>
          <w:sz w:val="24"/>
        </w:rPr>
        <w:t>It</w:t>
      </w:r>
      <w:r>
        <w:rPr>
          <w:rFonts w:ascii="Arial"/>
          <w:color w:val="000000"/>
          <w:sz w:val="24"/>
        </w:rPr>
        <w:t xml:space="preserve"> </w:t>
      </w:r>
      <w:r>
        <w:rPr>
          <w:rFonts w:ascii="Arial"/>
          <w:color w:val="000000"/>
          <w:sz w:val="24"/>
        </w:rPr>
        <w:t>takes the form of a table</w:t>
      </w:r>
      <w:r>
        <w:rPr>
          <w:rFonts w:ascii="Arial"/>
          <w:color w:val="000000"/>
          <w:sz w:val="24"/>
        </w:rPr>
        <w:t xml:space="preserve"> </w:t>
      </w:r>
      <w:r>
        <w:rPr>
          <w:rFonts w:ascii="Arial"/>
          <w:color w:val="000000"/>
          <w:sz w:val="24"/>
        </w:rPr>
        <w:t xml:space="preserve">with </w:t>
      </w:r>
      <w:r>
        <w:rPr>
          <w:rFonts w:ascii="Arial"/>
          <w:color w:val="000000"/>
          <w:sz w:val="24"/>
        </w:rPr>
        <w:t>a large number of</w:t>
      </w:r>
      <w:r>
        <w:rPr>
          <w:rFonts w:ascii="Arial"/>
          <w:color w:val="000000"/>
          <w:sz w:val="24"/>
        </w:rPr>
        <w:t xml:space="preserve"> </w:t>
      </w:r>
      <w:r>
        <w:rPr>
          <w:rFonts w:ascii="Arial"/>
          <w:color w:val="000000"/>
          <w:sz w:val="24"/>
        </w:rPr>
        <w:t>items</w:t>
      </w:r>
      <w:r>
        <w:rPr>
          <w:rFonts w:ascii="Arial"/>
          <w:color w:val="000000"/>
          <w:sz w:val="24"/>
        </w:rPr>
        <w:t>, extending over twenty pages</w:t>
      </w:r>
      <w:r>
        <w:rPr>
          <w:rFonts w:ascii="Arial"/>
          <w:color w:val="000000"/>
          <w:sz w:val="24"/>
        </w:rPr>
        <w:t xml:space="preserve">. </w:t>
      </w:r>
      <w:r>
        <w:rPr>
          <w:rFonts w:ascii="Arial"/>
          <w:color w:val="000000"/>
          <w:sz w:val="24"/>
        </w:rPr>
        <w:t xml:space="preserve">The first column records the line item. </w:t>
      </w:r>
      <w:r>
        <w:rPr>
          <w:rFonts w:ascii="Arial"/>
          <w:color w:val="000000"/>
          <w:sz w:val="24"/>
        </w:rPr>
        <w:t xml:space="preserve">The second column contains a description of the relevant item. </w:t>
      </w:r>
      <w:r>
        <w:rPr>
          <w:rFonts w:ascii="Arial"/>
          <w:color w:val="000000"/>
          <w:sz w:val="24"/>
        </w:rPr>
        <w:t xml:space="preserve">The third column is headed </w:t>
      </w:r>
      <w:r>
        <w:rPr>
          <w:rFonts w:ascii="Arial"/>
          <w:color w:val="000000"/>
          <w:sz w:val="24"/>
        </w:rPr>
        <w:t>“</w:t>
      </w:r>
      <w:r>
        <w:rPr>
          <w:rFonts w:ascii="Arial"/>
          <w:color w:val="000000"/>
          <w:sz w:val="24"/>
        </w:rPr>
        <w:t>Subtotal</w:t>
      </w:r>
      <w:r>
        <w:rPr>
          <w:rFonts w:ascii="Arial"/>
          <w:color w:val="000000"/>
          <w:sz w:val="24"/>
        </w:rPr>
        <w:t>”</w:t>
      </w:r>
      <w:r>
        <w:rPr>
          <w:rFonts w:ascii="Arial"/>
          <w:color w:val="000000"/>
          <w:sz w:val="24"/>
        </w:rPr>
        <w:t xml:space="preserve"> </w:t>
      </w:r>
      <w:r>
        <w:rPr>
          <w:rFonts w:ascii="Arial"/>
          <w:color w:val="000000"/>
          <w:sz w:val="24"/>
        </w:rPr>
        <w:t xml:space="preserve">and it is apparent from the contents of the table that this is the total amount provided for under the </w:t>
      </w:r>
      <w:r>
        <w:rPr>
          <w:rFonts w:ascii="Arial"/>
          <w:color w:val="000000"/>
          <w:sz w:val="24"/>
        </w:rPr>
        <w:t>C</w:t>
      </w:r>
      <w:r>
        <w:rPr>
          <w:rFonts w:ascii="Arial"/>
          <w:color w:val="000000"/>
          <w:sz w:val="24"/>
        </w:rPr>
        <w:t xml:space="preserve">ontract for that category of work (as opposed to the proportion of such work </w:t>
      </w:r>
      <w:r>
        <w:rPr>
          <w:rFonts w:ascii="Arial"/>
          <w:color w:val="000000"/>
          <w:sz w:val="24"/>
        </w:rPr>
        <w:t>that is the subject of a claim for payment</w:t>
      </w:r>
      <w:r>
        <w:rPr>
          <w:rFonts w:ascii="Arial"/>
          <w:color w:val="000000"/>
          <w:sz w:val="24"/>
        </w:rPr>
        <w:t xml:space="preserve">). </w:t>
      </w:r>
      <w:r>
        <w:rPr>
          <w:rFonts w:ascii="Arial"/>
          <w:color w:val="000000"/>
          <w:sz w:val="24"/>
        </w:rPr>
        <w:t xml:space="preserve">The </w:t>
      </w:r>
      <w:r>
        <w:rPr>
          <w:rFonts w:ascii="Arial"/>
          <w:color w:val="000000"/>
          <w:sz w:val="24"/>
        </w:rPr>
        <w:t>fourth column is headed</w:t>
      </w:r>
      <w:r>
        <w:rPr>
          <w:rFonts w:ascii="Arial"/>
          <w:color w:val="000000"/>
          <w:sz w:val="24"/>
        </w:rPr>
        <w:t xml:space="preserve"> </w:t>
      </w:r>
      <w:r>
        <w:rPr>
          <w:rFonts w:ascii="Arial"/>
          <w:color w:val="000000"/>
          <w:sz w:val="24"/>
        </w:rPr>
        <w:t>“</w:t>
      </w:r>
      <w:r>
        <w:rPr>
          <w:rFonts w:ascii="Arial"/>
          <w:color w:val="000000"/>
          <w:sz w:val="24"/>
        </w:rPr>
        <w:t xml:space="preserve">PC03 </w:t>
      </w:r>
      <w:r>
        <w:rPr>
          <w:rFonts w:ascii="Arial"/>
          <w:color w:val="000000"/>
          <w:sz w:val="24"/>
        </w:rPr>
        <w:t xml:space="preserve">– </w:t>
      </w:r>
      <w:r>
        <w:rPr>
          <w:rFonts w:ascii="Arial"/>
          <w:color w:val="000000"/>
          <w:sz w:val="24"/>
        </w:rPr>
        <w:t>August 2025</w:t>
      </w:r>
      <w:r>
        <w:rPr>
          <w:rFonts w:ascii="Arial"/>
          <w:color w:val="000000"/>
          <w:sz w:val="24"/>
        </w:rPr>
        <w:t xml:space="preserve">” </w:t>
      </w:r>
      <w:r>
        <w:rPr>
          <w:rFonts w:ascii="Arial"/>
          <w:color w:val="000000"/>
          <w:sz w:val="24"/>
        </w:rPr>
        <w:t xml:space="preserve">and </w:t>
      </w:r>
      <w:r>
        <w:rPr>
          <w:rFonts w:ascii="Arial"/>
          <w:color w:val="000000"/>
          <w:sz w:val="24"/>
        </w:rPr>
        <w:t xml:space="preserve">the fifth column is headed </w:t>
      </w:r>
      <w:r>
        <w:rPr>
          <w:rFonts w:ascii="Arial"/>
          <w:color w:val="000000"/>
          <w:sz w:val="24"/>
        </w:rPr>
        <w:t>“</w:t>
      </w:r>
      <w:r>
        <w:rPr>
          <w:rFonts w:ascii="Arial"/>
          <w:color w:val="000000"/>
          <w:sz w:val="24"/>
        </w:rPr>
        <w:t>Description of Individual Breakdown as per BC3 Contract dated 14 May 2025</w:t>
      </w:r>
      <w:r>
        <w:rPr>
          <w:rFonts w:ascii="Arial"/>
          <w:color w:val="000000"/>
          <w:sz w:val="24"/>
        </w:rPr>
        <w:t xml:space="preserve">” </w:t>
      </w:r>
      <w:r>
        <w:rPr>
          <w:rFonts w:ascii="Arial"/>
          <w:color w:val="000000"/>
          <w:sz w:val="24"/>
        </w:rPr>
        <w:t>(</w:t>
      </w:r>
      <w:r>
        <w:rPr>
          <w:rFonts w:ascii="Arial"/>
          <w:b/>
          <w:color w:val="000000"/>
          <w:sz w:val="24"/>
        </w:rPr>
        <w:t>Description of Individual Breakdown</w:t>
      </w:r>
      <w:r>
        <w:rPr>
          <w:rFonts w:ascii="Arial"/>
          <w:color w:val="000000"/>
          <w:sz w:val="24"/>
        </w:rPr>
        <w:t xml:space="preserve">). </w:t>
      </w:r>
    </w:p>
    <w:p>
      <w:pPr>
        <w:pStyle w:val="CaselawNumbered10"/>
        <w:numPr>
          <w:ilvl w:val="0"/>
          <w:numId w:val="29"/>
        </w:numPr>
        <w:spacing w:before="150" w:after="0"/>
        <w:ind w:left="600" w:hanging="600"/>
      </w:pPr>
      <w:r>
        <w:rPr>
          <w:rFonts w:ascii="Arial"/>
          <w:color w:val="000000"/>
          <w:sz w:val="24"/>
        </w:rPr>
        <w:t xml:space="preserve">The fourth and fifth columns serve to identify the work that is the subject of the payment claim. </w:t>
      </w:r>
      <w:r>
        <w:rPr>
          <w:rFonts w:ascii="Arial"/>
          <w:color w:val="000000"/>
          <w:sz w:val="24"/>
        </w:rPr>
        <w:t xml:space="preserve">For </w:t>
      </w:r>
      <w:r>
        <w:rPr>
          <w:rFonts w:ascii="Arial"/>
          <w:color w:val="000000"/>
          <w:sz w:val="24"/>
        </w:rPr>
        <w:t>the majority of</w:t>
      </w:r>
      <w:r>
        <w:rPr>
          <w:rFonts w:ascii="Arial"/>
          <w:color w:val="000000"/>
          <w:sz w:val="24"/>
        </w:rPr>
        <w:t xml:space="preserve"> </w:t>
      </w:r>
      <w:r>
        <w:rPr>
          <w:rFonts w:ascii="Arial"/>
          <w:color w:val="000000"/>
          <w:sz w:val="24"/>
        </w:rPr>
        <w:t xml:space="preserve">items, no amount is recorded under </w:t>
      </w:r>
      <w:r>
        <w:rPr>
          <w:rFonts w:ascii="Arial"/>
          <w:color w:val="000000"/>
          <w:sz w:val="24"/>
        </w:rPr>
        <w:t>“</w:t>
      </w:r>
      <w:r>
        <w:rPr>
          <w:rFonts w:ascii="Arial"/>
          <w:color w:val="000000"/>
          <w:sz w:val="24"/>
        </w:rPr>
        <w:t xml:space="preserve">PC03 </w:t>
      </w:r>
      <w:r>
        <w:rPr>
          <w:rFonts w:ascii="Arial"/>
          <w:color w:val="000000"/>
          <w:sz w:val="24"/>
        </w:rPr>
        <w:t xml:space="preserve">– </w:t>
      </w:r>
      <w:r>
        <w:rPr>
          <w:rFonts w:ascii="Arial"/>
          <w:color w:val="000000"/>
          <w:sz w:val="24"/>
        </w:rPr>
        <w:t>August 2025</w:t>
      </w:r>
      <w:r>
        <w:rPr>
          <w:rFonts w:ascii="Arial"/>
          <w:color w:val="000000"/>
          <w:sz w:val="24"/>
        </w:rPr>
        <w:t xml:space="preserve">” </w:t>
      </w:r>
      <w:r>
        <w:rPr>
          <w:rFonts w:ascii="Arial"/>
          <w:color w:val="000000"/>
          <w:sz w:val="24"/>
        </w:rPr>
        <w:t xml:space="preserve">and </w:t>
      </w:r>
      <w:r>
        <w:rPr>
          <w:rFonts w:ascii="Arial"/>
          <w:color w:val="000000"/>
          <w:sz w:val="24"/>
        </w:rPr>
        <w:t xml:space="preserve">where that is the case the corresponding entry </w:t>
      </w:r>
      <w:r>
        <w:rPr>
          <w:rFonts w:ascii="Arial"/>
          <w:color w:val="000000"/>
          <w:sz w:val="24"/>
        </w:rPr>
        <w:t xml:space="preserve">in the column headed </w:t>
      </w:r>
      <w:r>
        <w:rPr>
          <w:rFonts w:ascii="Arial"/>
          <w:color w:val="000000"/>
          <w:sz w:val="24"/>
        </w:rPr>
        <w:t>“</w:t>
      </w:r>
      <w:r>
        <w:rPr>
          <w:rFonts w:ascii="Arial"/>
          <w:color w:val="000000"/>
          <w:sz w:val="24"/>
        </w:rPr>
        <w:t>Description of Individual Breakdowns</w:t>
      </w:r>
      <w:r>
        <w:rPr>
          <w:rFonts w:ascii="Arial"/>
          <w:color w:val="000000"/>
          <w:sz w:val="24"/>
        </w:rPr>
        <w:t>”</w:t>
      </w:r>
      <w:r>
        <w:rPr>
          <w:rFonts w:ascii="Arial"/>
          <w:color w:val="000000"/>
          <w:sz w:val="24"/>
        </w:rPr>
        <w:t xml:space="preserve"> </w:t>
      </w:r>
      <w:r>
        <w:rPr>
          <w:rFonts w:ascii="Arial"/>
          <w:color w:val="000000"/>
          <w:sz w:val="24"/>
        </w:rPr>
        <w:t xml:space="preserve">is </w:t>
      </w:r>
      <w:r>
        <w:rPr>
          <w:rFonts w:ascii="Arial"/>
          <w:color w:val="000000"/>
          <w:sz w:val="24"/>
        </w:rPr>
        <w:t>“</w:t>
      </w:r>
      <w:r>
        <w:rPr>
          <w:rFonts w:ascii="Arial"/>
          <w:color w:val="000000"/>
          <w:sz w:val="24"/>
        </w:rPr>
        <w:t>Not applicable</w:t>
      </w:r>
      <w:r>
        <w:rPr>
          <w:rFonts w:ascii="Arial"/>
          <w:color w:val="000000"/>
          <w:sz w:val="24"/>
        </w:rPr>
        <w:t xml:space="preserve">” </w:t>
      </w:r>
      <w:r>
        <w:rPr>
          <w:rFonts w:ascii="Arial"/>
          <w:color w:val="000000"/>
          <w:sz w:val="24"/>
        </w:rPr>
        <w:t xml:space="preserve">or </w:t>
      </w:r>
      <w:r>
        <w:rPr>
          <w:rFonts w:ascii="Arial"/>
          <w:color w:val="000000"/>
          <w:sz w:val="24"/>
        </w:rPr>
        <w:t>“</w:t>
      </w:r>
      <w:r>
        <w:rPr>
          <w:rFonts w:ascii="Arial"/>
          <w:color w:val="000000"/>
          <w:sz w:val="24"/>
        </w:rPr>
        <w:t>Nil to Claim</w:t>
      </w:r>
      <w:r>
        <w:rPr>
          <w:rFonts w:ascii="Arial"/>
          <w:color w:val="000000"/>
          <w:sz w:val="24"/>
        </w:rPr>
        <w:t>”</w:t>
      </w:r>
      <w:r>
        <w:rPr>
          <w:rFonts w:ascii="Arial"/>
          <w:color w:val="000000"/>
          <w:sz w:val="24"/>
        </w:rPr>
        <w:t xml:space="preserve">. </w:t>
      </w:r>
    </w:p>
    <w:p>
      <w:pPr>
        <w:pStyle w:val="CaselawNumbered10"/>
        <w:numPr>
          <w:ilvl w:val="0"/>
          <w:numId w:val="29"/>
        </w:numPr>
        <w:spacing w:before="150" w:after="0"/>
        <w:ind w:left="600" w:hanging="600"/>
      </w:pPr>
      <w:r>
        <w:rPr>
          <w:rFonts w:ascii="Arial"/>
          <w:color w:val="000000"/>
          <w:sz w:val="24"/>
        </w:rPr>
        <w:t xml:space="preserve">There are various line items where amounts are recorded under </w:t>
      </w:r>
      <w:r>
        <w:rPr>
          <w:rFonts w:ascii="Arial"/>
          <w:color w:val="000000"/>
          <w:sz w:val="24"/>
        </w:rPr>
        <w:t>“</w:t>
      </w:r>
      <w:r>
        <w:rPr>
          <w:rFonts w:ascii="Arial"/>
          <w:color w:val="000000"/>
          <w:sz w:val="24"/>
        </w:rPr>
        <w:t xml:space="preserve">PC03 </w:t>
      </w:r>
      <w:r>
        <w:rPr>
          <w:rFonts w:ascii="Arial"/>
          <w:color w:val="000000"/>
          <w:sz w:val="24"/>
        </w:rPr>
        <w:t xml:space="preserve">– </w:t>
      </w:r>
      <w:r>
        <w:rPr>
          <w:rFonts w:ascii="Arial"/>
          <w:color w:val="000000"/>
          <w:sz w:val="24"/>
        </w:rPr>
        <w:t>August 2025</w:t>
      </w:r>
      <w:r>
        <w:rPr>
          <w:rFonts w:ascii="Arial"/>
          <w:color w:val="000000"/>
          <w:sz w:val="24"/>
        </w:rPr>
        <w:t>”</w:t>
      </w:r>
      <w:r>
        <w:rPr>
          <w:rFonts w:ascii="Arial"/>
          <w:color w:val="000000"/>
          <w:sz w:val="24"/>
        </w:rPr>
        <w:t>. At the end of the trade breakdown, the total of those items is shown as $400,577.86. A builder</w:t>
      </w:r>
      <w:r>
        <w:rPr>
          <w:rFonts w:ascii="Arial"/>
          <w:color w:val="000000"/>
          <w:sz w:val="24"/>
        </w:rPr>
        <w:t>’</w:t>
      </w:r>
      <w:r>
        <w:rPr>
          <w:rFonts w:ascii="Arial"/>
          <w:color w:val="000000"/>
          <w:sz w:val="24"/>
        </w:rPr>
        <w:t>s margin of 10% is then shown as a claim of $40,057.79. The total of those two claimed amounts is shown as $440,635.65. This suggests some discrepancy with the tax invoice</w:t>
      </w:r>
      <w:r>
        <w:rPr>
          <w:rFonts w:ascii="Arial"/>
          <w:color w:val="000000"/>
          <w:sz w:val="24"/>
        </w:rPr>
        <w:t xml:space="preserve">, given that the invoice records </w:t>
      </w:r>
      <w:r>
        <w:rPr>
          <w:rFonts w:ascii="Arial"/>
          <w:color w:val="000000"/>
          <w:sz w:val="24"/>
        </w:rPr>
        <w:t xml:space="preserve">the amount of </w:t>
      </w:r>
      <w:r>
        <w:rPr>
          <w:rFonts w:ascii="Arial"/>
          <w:color w:val="000000"/>
          <w:sz w:val="24"/>
        </w:rPr>
        <w:t>“</w:t>
      </w:r>
      <w:r>
        <w:rPr>
          <w:rFonts w:ascii="Arial"/>
          <w:color w:val="000000"/>
          <w:sz w:val="24"/>
        </w:rPr>
        <w:t>Payment claim 3 for contract works (as per trade breakdown)</w:t>
      </w:r>
      <w:r>
        <w:rPr>
          <w:rFonts w:ascii="Arial"/>
          <w:color w:val="000000"/>
          <w:sz w:val="24"/>
        </w:rPr>
        <w:t xml:space="preserve">” </w:t>
      </w:r>
      <w:r>
        <w:rPr>
          <w:rFonts w:ascii="Arial"/>
          <w:color w:val="000000"/>
          <w:sz w:val="24"/>
        </w:rPr>
        <w:t xml:space="preserve">as $460,464.25. Neither party </w:t>
      </w:r>
      <w:r>
        <w:rPr>
          <w:rFonts w:ascii="Arial"/>
          <w:color w:val="000000"/>
          <w:sz w:val="24"/>
        </w:rPr>
        <w:t>referred</w:t>
      </w:r>
      <w:r>
        <w:rPr>
          <w:rFonts w:ascii="Arial"/>
          <w:color w:val="000000"/>
          <w:sz w:val="24"/>
        </w:rPr>
        <w:t xml:space="preserve"> </w:t>
      </w:r>
      <w:r>
        <w:rPr>
          <w:rFonts w:ascii="Arial"/>
          <w:color w:val="000000"/>
          <w:sz w:val="24"/>
        </w:rPr>
        <w:t>to this discrepancy</w:t>
      </w:r>
      <w:r>
        <w:rPr>
          <w:rFonts w:ascii="Arial"/>
          <w:color w:val="000000"/>
          <w:sz w:val="24"/>
        </w:rPr>
        <w:t>,</w:t>
      </w:r>
      <w:r>
        <w:rPr>
          <w:rFonts w:ascii="Arial"/>
          <w:color w:val="000000"/>
          <w:sz w:val="24"/>
        </w:rPr>
        <w:t xml:space="preserve"> </w:t>
      </w:r>
      <w:r>
        <w:rPr>
          <w:rFonts w:ascii="Arial"/>
          <w:color w:val="000000"/>
          <w:sz w:val="24"/>
        </w:rPr>
        <w:t xml:space="preserve">and nothing turns on it for the purposes of the argument about the validity of service of PC3 and PC4. </w:t>
      </w:r>
    </w:p>
    <w:p>
      <w:pPr>
        <w:pStyle w:val="CaselawNumbered10"/>
        <w:numPr>
          <w:ilvl w:val="0"/>
          <w:numId w:val="29"/>
        </w:numPr>
        <w:spacing w:before="150" w:after="0"/>
        <w:ind w:left="600" w:hanging="600"/>
      </w:pPr>
      <w:r>
        <w:rPr>
          <w:rFonts w:ascii="Arial"/>
          <w:color w:val="000000"/>
          <w:sz w:val="24"/>
        </w:rPr>
        <w:t xml:space="preserve">The more significant point for present purposes is that the trade breakdown serves to identify the various items of work said to </w:t>
      </w:r>
      <w:r>
        <w:rPr>
          <w:rFonts w:ascii="Arial"/>
          <w:color w:val="000000"/>
          <w:sz w:val="24"/>
        </w:rPr>
        <w:t>support</w:t>
      </w:r>
      <w:r>
        <w:rPr>
          <w:rFonts w:ascii="Arial"/>
          <w:color w:val="000000"/>
          <w:sz w:val="24"/>
        </w:rPr>
        <w:t xml:space="preserve"> </w:t>
      </w:r>
      <w:r>
        <w:rPr>
          <w:rFonts w:ascii="Arial"/>
          <w:color w:val="000000"/>
          <w:sz w:val="24"/>
        </w:rPr>
        <w:t>the total amount claimed</w:t>
      </w:r>
      <w:r>
        <w:rPr>
          <w:rFonts w:ascii="Arial"/>
          <w:color w:val="000000"/>
          <w:sz w:val="24"/>
        </w:rPr>
        <w:t xml:space="preserve"> </w:t>
      </w:r>
      <w:r>
        <w:rPr>
          <w:rFonts w:ascii="Arial"/>
          <w:color w:val="000000"/>
          <w:sz w:val="24"/>
        </w:rPr>
        <w:t>in PC3</w:t>
      </w:r>
      <w:r>
        <w:rPr>
          <w:rFonts w:ascii="Arial"/>
          <w:color w:val="000000"/>
          <w:sz w:val="24"/>
        </w:rPr>
        <w:t xml:space="preserve">. </w:t>
      </w:r>
      <w:r>
        <w:rPr>
          <w:rFonts w:ascii="Arial"/>
          <w:color w:val="000000"/>
          <w:sz w:val="24"/>
        </w:rPr>
        <w:t>In some cases</w:t>
      </w:r>
      <w:r>
        <w:rPr>
          <w:rFonts w:ascii="Arial"/>
          <w:color w:val="000000"/>
          <w:sz w:val="24"/>
        </w:rPr>
        <w:t>,</w:t>
      </w:r>
      <w:r>
        <w:rPr>
          <w:rFonts w:ascii="Arial"/>
          <w:color w:val="000000"/>
          <w:sz w:val="24"/>
        </w:rPr>
        <w:t xml:space="preserve"> </w:t>
      </w:r>
      <w:r>
        <w:rPr>
          <w:rFonts w:ascii="Arial"/>
          <w:color w:val="000000"/>
          <w:sz w:val="24"/>
        </w:rPr>
        <w:t>the amount claimed is 100% of the amount provided for in the Contract. In other cases</w:t>
      </w:r>
      <w:r>
        <w:rPr>
          <w:rFonts w:ascii="Arial"/>
          <w:color w:val="000000"/>
          <w:sz w:val="24"/>
        </w:rPr>
        <w:t>,</w:t>
      </w:r>
      <w:r>
        <w:rPr>
          <w:rFonts w:ascii="Arial"/>
          <w:color w:val="000000"/>
          <w:sz w:val="24"/>
        </w:rPr>
        <w:t xml:space="preserve"> </w:t>
      </w:r>
      <w:r>
        <w:rPr>
          <w:rFonts w:ascii="Arial"/>
          <w:color w:val="000000"/>
          <w:sz w:val="24"/>
        </w:rPr>
        <w:t xml:space="preserve">the amount claimed is some lower percentage. </w:t>
      </w:r>
      <w:r>
        <w:rPr>
          <w:rFonts w:ascii="Arial"/>
          <w:color w:val="000000"/>
          <w:sz w:val="24"/>
        </w:rPr>
        <w:t xml:space="preserve">In the </w:t>
      </w:r>
      <w:r>
        <w:rPr>
          <w:rFonts w:ascii="Arial"/>
          <w:color w:val="000000"/>
          <w:sz w:val="24"/>
        </w:rPr>
        <w:t>“</w:t>
      </w:r>
      <w:r>
        <w:rPr>
          <w:rFonts w:ascii="Arial"/>
          <w:color w:val="000000"/>
          <w:sz w:val="24"/>
        </w:rPr>
        <w:t>Description of Individual Breakdown</w:t>
      </w:r>
      <w:r>
        <w:rPr>
          <w:rFonts w:ascii="Arial"/>
          <w:color w:val="000000"/>
          <w:sz w:val="24"/>
        </w:rPr>
        <w:t xml:space="preserve">” </w:t>
      </w:r>
      <w:r>
        <w:rPr>
          <w:rFonts w:ascii="Arial"/>
          <w:color w:val="000000"/>
          <w:sz w:val="24"/>
        </w:rPr>
        <w:t>column, there are various entries to explain the amounts claimed in PC3. Examples include the following:</w:t>
      </w:r>
      <w:r>
        <w:rPr>
          <w:rFonts w:ascii="Arial"/>
          <w:color w:val="000000"/>
          <w:sz w:val="24"/>
        </w:rPr>
        <w:t xml:space="preserve"> </w:t>
      </w:r>
    </w:p>
    <w:tbl>
      <w:tblPr>
        <w:tblW w:w="0" w:type="auto"/>
        <w:tblCellSpacing w:w="0" w:type="auto"/>
        <w:tblInd w:w="115"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Pr>
      <w:tblGrid>
        <w:gridCol w:w="826"/>
        <w:gridCol w:w="6221"/>
        <w:gridCol w:w="1780"/>
        <w:gridCol w:w="908"/>
        <w:gridCol w:w="1780"/>
        <w:gridCol w:w="2485"/>
      </w:tblGrid>
      <w:tr>
        <w:trPr/>
        <w:tc>
          <w:tcPr>
            <w:tcW w:w="826" w:type="dxa"/>
            <w:vAlign w:val="center"/>
          </w:tcPr>
          <w:p>
            <w:pPr>
              <w:pStyle w:val="CaselawNormal"/>
              <w:spacing w:before="150" w:after="150"/>
              <w:ind w:left="600"/>
              <w:jc w:val="left"/>
            </w:pPr>
            <w:r>
              <w:rPr>
                <w:rFonts w:ascii="Arial"/>
                <w:b/>
                <w:color w:val="000000"/>
                <w:sz w:val="24"/>
              </w:rPr>
              <w:t>Item no.</w:t>
            </w:r>
          </w:p>
        </w:tc>
        <w:tc>
          <w:tcPr>
            <w:tcW w:w="6221" w:type="dxa"/>
            <w:vAlign w:val="center"/>
          </w:tcPr>
          <w:p>
            <w:pPr>
              <w:pStyle w:val="CaselawNormal"/>
              <w:spacing w:before="150" w:after="150"/>
              <w:ind w:left="600"/>
              <w:jc w:val="left"/>
            </w:pPr>
            <w:r>
              <w:rPr>
                <w:rFonts w:ascii="Arial"/>
                <w:b/>
                <w:color w:val="000000"/>
                <w:sz w:val="24"/>
              </w:rPr>
              <w:t>Description</w:t>
            </w:r>
          </w:p>
        </w:tc>
        <w:tc>
          <w:tcPr>
            <w:tcW w:w="1780" w:type="dxa"/>
            <w:vAlign w:val="center"/>
          </w:tcPr>
          <w:p>
            <w:pPr>
              <w:pStyle w:val="CaselawNormal"/>
              <w:spacing w:before="150" w:after="150"/>
              <w:ind w:left="600"/>
              <w:jc w:val="left"/>
            </w:pPr>
            <w:r>
              <w:rPr>
                <w:rFonts w:ascii="Arial"/>
                <w:b/>
                <w:color w:val="000000"/>
                <w:sz w:val="24"/>
              </w:rPr>
              <w:t>Subtotal</w:t>
            </w:r>
          </w:p>
        </w:tc>
        <w:tc>
          <w:tcPr>
            <w:tcW w:w="0" w:type="auto"/>
            <w:gridSpan w:val="2"/>
            <w:vAlign w:val="center"/>
          </w:tcPr>
          <w:p>
            <w:pPr>
              <w:pStyle w:val="CaselawNormal"/>
              <w:spacing w:before="150" w:after="150"/>
              <w:ind w:left="600"/>
              <w:jc w:val="left"/>
            </w:pPr>
            <w:r>
              <w:rPr>
                <w:rFonts w:ascii="Arial"/>
                <w:b/>
                <w:color w:val="000000"/>
                <w:sz w:val="24"/>
              </w:rPr>
              <w:t>PC-3</w:t>
            </w:r>
            <w:r>
              <w:rPr>
                <w:rFonts w:ascii="Arial"/>
                <w:b/>
                <w:color w:val="000000"/>
                <w:sz w:val="24"/>
              </w:rPr>
              <w:t xml:space="preserve"> </w:t>
            </w:r>
            <w:r>
              <w:rPr>
                <w:rFonts w:ascii="Arial"/>
                <w:b/>
                <w:color w:val="000000"/>
                <w:sz w:val="24"/>
              </w:rPr>
              <w:t>– August 2025</w:t>
            </w:r>
          </w:p>
        </w:tc>
        <w:tc>
          <w:tcPr>
            <w:tcW w:w="2485" w:type="dxa"/>
            <w:vAlign w:val="center"/>
          </w:tcPr>
          <w:p>
            <w:pPr>
              <w:pStyle w:val="CaselawNormal"/>
              <w:spacing w:before="150" w:after="150"/>
              <w:ind w:left="600"/>
              <w:jc w:val="left"/>
            </w:pPr>
            <w:r>
              <w:rPr>
                <w:rFonts w:ascii="Arial"/>
                <w:b/>
                <w:color w:val="000000"/>
                <w:sz w:val="24"/>
              </w:rPr>
              <w:t>Description of Individual Breakdown</w:t>
            </w:r>
          </w:p>
        </w:tc>
      </w:tr>
      <w:tr>
        <w:trPr/>
        <w:tc>
          <w:tcPr>
            <w:tcW w:w="826" w:type="dxa"/>
            <w:vAlign w:val="center"/>
          </w:tcPr>
          <w:p>
            <w:pPr>
              <w:pStyle w:val="CaselawNormal"/>
              <w:spacing w:before="150" w:after="150"/>
              <w:ind w:left="600"/>
              <w:jc w:val="left"/>
            </w:pPr>
            <w:r>
              <w:rPr>
                <w:rFonts w:ascii="Arial"/>
                <w:color w:val="000000"/>
                <w:sz w:val="24"/>
              </w:rPr>
              <w:t>3.01</w:t>
            </w:r>
          </w:p>
        </w:tc>
        <w:tc>
          <w:tcPr>
            <w:tcW w:w="6221" w:type="dxa"/>
            <w:vAlign w:val="center"/>
          </w:tcPr>
          <w:p>
            <w:pPr>
              <w:pStyle w:val="CaselawNormal"/>
              <w:spacing w:before="150" w:after="150"/>
              <w:ind w:left="600"/>
              <w:jc w:val="left"/>
            </w:pPr>
            <w:r>
              <w:rPr>
                <w:rFonts w:ascii="Arial"/>
                <w:color w:val="000000"/>
                <w:sz w:val="24"/>
              </w:rPr>
              <w:t>Public liability</w:t>
            </w:r>
          </w:p>
        </w:tc>
        <w:tc>
          <w:tcPr>
            <w:tcW w:w="1780" w:type="dxa"/>
            <w:vAlign w:val="center"/>
          </w:tcPr>
          <w:p>
            <w:pPr>
              <w:pStyle w:val="CaselawNormal"/>
              <w:spacing w:before="150" w:after="150"/>
              <w:ind w:left="600"/>
              <w:jc w:val="left"/>
            </w:pPr>
            <w:r>
              <w:rPr>
                <w:rFonts w:ascii="Arial"/>
                <w:color w:val="000000"/>
                <w:sz w:val="24"/>
              </w:rPr>
              <w:t>$9,720.00</w:t>
            </w:r>
          </w:p>
        </w:tc>
        <w:tc>
          <w:tcPr>
            <w:tcW w:w="908" w:type="dxa"/>
            <w:vAlign w:val="center"/>
          </w:tcPr>
          <w:p>
            <w:pPr>
              <w:pStyle w:val="CaselawNormal"/>
              <w:spacing w:before="150" w:after="150"/>
              <w:ind w:left="600"/>
              <w:jc w:val="left"/>
            </w:pPr>
            <w:r>
              <w:rPr>
                <w:rFonts w:ascii="Arial"/>
                <w:color w:val="000000"/>
                <w:sz w:val="24"/>
              </w:rPr>
              <w:t>100%</w:t>
            </w:r>
          </w:p>
        </w:tc>
        <w:tc>
          <w:tcPr>
            <w:tcW w:w="1780" w:type="dxa"/>
            <w:vAlign w:val="center"/>
          </w:tcPr>
          <w:p>
            <w:pPr>
              <w:pStyle w:val="CaselawNormal"/>
              <w:spacing w:before="150" w:after="150"/>
              <w:ind w:left="600"/>
              <w:jc w:val="left"/>
            </w:pPr>
            <w:r>
              <w:rPr>
                <w:rFonts w:ascii="Arial"/>
                <w:color w:val="000000"/>
                <w:sz w:val="24"/>
              </w:rPr>
              <w:t>$ 9,720.00</w:t>
            </w:r>
          </w:p>
        </w:tc>
        <w:tc>
          <w:tcPr>
            <w:tcW w:w="2485" w:type="dxa"/>
            <w:vAlign w:val="center"/>
          </w:tcPr>
          <w:p>
            <w:pPr>
              <w:pStyle w:val="CaselawNormal"/>
              <w:spacing w:before="150" w:after="150"/>
              <w:ind w:left="600"/>
              <w:jc w:val="left"/>
            </w:pPr>
            <w:r>
              <w:rPr>
                <w:rFonts w:ascii="Arial"/>
                <w:color w:val="000000"/>
                <w:sz w:val="24"/>
              </w:rPr>
              <w:t>Public liability insurance premium</w:t>
            </w:r>
          </w:p>
        </w:tc>
      </w:tr>
      <w:tr>
        <w:trPr/>
        <w:tc>
          <w:tcPr>
            <w:tcW w:w="826" w:type="dxa"/>
            <w:vAlign w:val="center"/>
          </w:tcPr>
          <w:p>
            <w:pPr>
              <w:pStyle w:val="CaselawNormal"/>
              <w:spacing w:before="150" w:after="150"/>
              <w:ind w:left="600"/>
              <w:jc w:val="left"/>
            </w:pPr>
            <w:r>
              <w:rPr>
                <w:rFonts w:ascii="Arial"/>
                <w:color w:val="000000"/>
                <w:sz w:val="24"/>
              </w:rPr>
              <w:t>…</w:t>
            </w:r>
          </w:p>
        </w:tc>
        <w:tc>
          <w:tcPr>
            <w:tcW w:w="6221"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908"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2485" w:type="dxa"/>
            <w:vAlign w:val="center"/>
          </w:tcPr>
          <w:p>
            <w:pPr>
              <w:spacing w:before="150" w:after="0"/>
              <w:ind w:left="0"/>
              <w:jc w:val="left"/>
            </w:pPr>
            <w:r>
              <w:rPr>
                <w:rFonts w:ascii="Arial"/>
                <w:b w:val="false"/>
                <w:i w:val="false"/>
                <w:color w:val="000000"/>
              </w:rPr>
              <w:t> </w:t>
            </w:r>
          </w:p>
        </w:tc>
      </w:tr>
      <w:tr>
        <w:trPr/>
        <w:tc>
          <w:tcPr>
            <w:tcW w:w="826" w:type="dxa"/>
            <w:vAlign w:val="center"/>
          </w:tcPr>
          <w:p>
            <w:pPr>
              <w:pStyle w:val="CaselawNormal"/>
              <w:spacing w:before="150" w:after="150"/>
              <w:ind w:left="600"/>
              <w:jc w:val="left"/>
            </w:pPr>
            <w:r>
              <w:rPr>
                <w:rFonts w:ascii="Arial"/>
                <w:color w:val="000000"/>
                <w:sz w:val="24"/>
              </w:rPr>
              <w:t>4.02</w:t>
            </w:r>
          </w:p>
        </w:tc>
        <w:tc>
          <w:tcPr>
            <w:tcW w:w="6221" w:type="dxa"/>
            <w:vAlign w:val="center"/>
          </w:tcPr>
          <w:p>
            <w:pPr>
              <w:pStyle w:val="CaselawNormal"/>
              <w:spacing w:before="150" w:after="150"/>
              <w:ind w:left="600"/>
              <w:jc w:val="left"/>
            </w:pPr>
            <w:r>
              <w:rPr>
                <w:rFonts w:ascii="Arial"/>
                <w:color w:val="000000"/>
                <w:sz w:val="24"/>
              </w:rPr>
              <w:t>Site Manager (Full Time)</w:t>
            </w:r>
          </w:p>
        </w:tc>
        <w:tc>
          <w:tcPr>
            <w:tcW w:w="1780" w:type="dxa"/>
            <w:vAlign w:val="center"/>
          </w:tcPr>
          <w:p>
            <w:pPr>
              <w:pStyle w:val="CaselawNormal"/>
              <w:spacing w:before="150" w:after="150"/>
              <w:ind w:left="600"/>
              <w:jc w:val="left"/>
            </w:pPr>
            <w:r>
              <w:rPr>
                <w:rFonts w:ascii="Arial"/>
                <w:color w:val="000000"/>
                <w:sz w:val="24"/>
              </w:rPr>
              <w:t>$208,000.00</w:t>
            </w:r>
          </w:p>
        </w:tc>
        <w:tc>
          <w:tcPr>
            <w:tcW w:w="908" w:type="dxa"/>
            <w:vAlign w:val="center"/>
          </w:tcPr>
          <w:p>
            <w:pPr>
              <w:pStyle w:val="CaselawNormal"/>
              <w:spacing w:before="150" w:after="150"/>
              <w:ind w:left="600"/>
              <w:jc w:val="left"/>
            </w:pPr>
            <w:r>
              <w:rPr>
                <w:rFonts w:ascii="Arial"/>
                <w:color w:val="000000"/>
                <w:sz w:val="24"/>
              </w:rPr>
              <w:t>8.33%</w:t>
            </w:r>
          </w:p>
        </w:tc>
        <w:tc>
          <w:tcPr>
            <w:tcW w:w="1780" w:type="dxa"/>
            <w:vAlign w:val="center"/>
          </w:tcPr>
          <w:p>
            <w:pPr>
              <w:pStyle w:val="CaselawNormal"/>
              <w:spacing w:before="150" w:after="150"/>
              <w:ind w:left="600"/>
              <w:jc w:val="left"/>
            </w:pPr>
            <w:r>
              <w:rPr>
                <w:rFonts w:ascii="Arial"/>
                <w:color w:val="000000"/>
                <w:sz w:val="24"/>
              </w:rPr>
              <w:t>$ 17,326.40</w:t>
            </w:r>
          </w:p>
        </w:tc>
        <w:tc>
          <w:tcPr>
            <w:tcW w:w="2485" w:type="dxa"/>
            <w:vAlign w:val="center"/>
          </w:tcPr>
          <w:p>
            <w:pPr>
              <w:pStyle w:val="CaselawNormal"/>
              <w:spacing w:before="150" w:after="150"/>
              <w:ind w:left="600"/>
              <w:jc w:val="left"/>
            </w:pPr>
            <w:r>
              <w:rPr>
                <w:rFonts w:ascii="Arial"/>
                <w:color w:val="000000"/>
                <w:sz w:val="24"/>
              </w:rPr>
              <w:t>Monthly claim for site manager</w:t>
            </w:r>
          </w:p>
        </w:tc>
      </w:tr>
      <w:tr>
        <w:trPr/>
        <w:tc>
          <w:tcPr>
            <w:tcW w:w="826" w:type="dxa"/>
            <w:vAlign w:val="center"/>
          </w:tcPr>
          <w:p>
            <w:pPr>
              <w:pStyle w:val="CaselawNormal"/>
              <w:spacing w:before="150" w:after="150"/>
              <w:ind w:left="600"/>
              <w:jc w:val="left"/>
            </w:pPr>
            <w:r>
              <w:rPr>
                <w:rFonts w:ascii="Arial"/>
                <w:color w:val="000000"/>
                <w:sz w:val="24"/>
              </w:rPr>
              <w:t>…</w:t>
            </w:r>
          </w:p>
        </w:tc>
        <w:tc>
          <w:tcPr>
            <w:tcW w:w="6221"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908"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2485" w:type="dxa"/>
            <w:vAlign w:val="center"/>
          </w:tcPr>
          <w:p>
            <w:pPr>
              <w:spacing w:before="150" w:after="0"/>
              <w:ind w:left="0"/>
              <w:jc w:val="left"/>
            </w:pPr>
            <w:r>
              <w:rPr>
                <w:rFonts w:ascii="Arial"/>
                <w:b w:val="false"/>
                <w:i w:val="false"/>
                <w:color w:val="000000"/>
              </w:rPr>
              <w:t> </w:t>
            </w:r>
          </w:p>
        </w:tc>
      </w:tr>
      <w:tr>
        <w:trPr/>
        <w:tc>
          <w:tcPr>
            <w:tcW w:w="826" w:type="dxa"/>
            <w:vAlign w:val="center"/>
          </w:tcPr>
          <w:p>
            <w:pPr>
              <w:pStyle w:val="CaselawNormal"/>
              <w:spacing w:before="150" w:after="150"/>
              <w:ind w:left="600"/>
              <w:jc w:val="left"/>
            </w:pPr>
            <w:r>
              <w:rPr>
                <w:rFonts w:ascii="Arial"/>
                <w:color w:val="000000"/>
                <w:sz w:val="24"/>
              </w:rPr>
              <w:t>5.01</w:t>
            </w:r>
          </w:p>
        </w:tc>
        <w:tc>
          <w:tcPr>
            <w:tcW w:w="6221" w:type="dxa"/>
            <w:vAlign w:val="center"/>
          </w:tcPr>
          <w:p>
            <w:pPr>
              <w:pStyle w:val="CaselawNormal"/>
              <w:spacing w:before="150" w:after="150"/>
              <w:ind w:left="600"/>
              <w:jc w:val="left"/>
            </w:pPr>
            <w:r>
              <w:rPr>
                <w:rFonts w:ascii="Arial"/>
                <w:color w:val="000000"/>
                <w:sz w:val="24"/>
              </w:rPr>
              <w:t>Portable Building – Site Office</w:t>
            </w:r>
          </w:p>
        </w:tc>
        <w:tc>
          <w:tcPr>
            <w:tcW w:w="1780" w:type="dxa"/>
            <w:vAlign w:val="center"/>
          </w:tcPr>
          <w:p>
            <w:pPr>
              <w:pStyle w:val="CaselawNormal"/>
              <w:spacing w:before="150" w:after="150"/>
              <w:ind w:left="600"/>
              <w:jc w:val="left"/>
            </w:pPr>
            <w:r>
              <w:rPr>
                <w:rFonts w:ascii="Arial"/>
                <w:color w:val="000000"/>
                <w:sz w:val="24"/>
              </w:rPr>
              <w:t>$2,860.00</w:t>
            </w:r>
          </w:p>
        </w:tc>
        <w:tc>
          <w:tcPr>
            <w:tcW w:w="908" w:type="dxa"/>
            <w:vAlign w:val="center"/>
          </w:tcPr>
          <w:p>
            <w:pPr>
              <w:pStyle w:val="CaselawNormal"/>
              <w:spacing w:before="150" w:after="150"/>
              <w:ind w:left="600"/>
              <w:jc w:val="left"/>
            </w:pPr>
            <w:r>
              <w:rPr>
                <w:rFonts w:ascii="Arial"/>
                <w:color w:val="000000"/>
                <w:sz w:val="24"/>
              </w:rPr>
              <w:t>8.33%</w:t>
            </w:r>
          </w:p>
        </w:tc>
        <w:tc>
          <w:tcPr>
            <w:tcW w:w="1780" w:type="dxa"/>
            <w:vAlign w:val="center"/>
          </w:tcPr>
          <w:p>
            <w:pPr>
              <w:pStyle w:val="CaselawNormal"/>
              <w:spacing w:before="150" w:after="150"/>
              <w:ind w:left="600"/>
              <w:jc w:val="left"/>
            </w:pPr>
            <w:r>
              <w:rPr>
                <w:rFonts w:ascii="Arial"/>
                <w:color w:val="000000"/>
                <w:sz w:val="24"/>
              </w:rPr>
              <w:t>$ 238.24</w:t>
            </w:r>
          </w:p>
        </w:tc>
        <w:tc>
          <w:tcPr>
            <w:tcW w:w="2485" w:type="dxa"/>
            <w:vAlign w:val="center"/>
          </w:tcPr>
          <w:p>
            <w:pPr>
              <w:pStyle w:val="CaselawNormal"/>
              <w:spacing w:before="150" w:after="150"/>
              <w:ind w:left="600"/>
              <w:jc w:val="left"/>
            </w:pPr>
            <w:r>
              <w:rPr>
                <w:rFonts w:ascii="Arial"/>
                <w:color w:val="000000"/>
                <w:sz w:val="24"/>
              </w:rPr>
              <w:t>Monthly claim for site office hire</w:t>
            </w:r>
          </w:p>
        </w:tc>
      </w:tr>
      <w:tr>
        <w:trPr/>
        <w:tc>
          <w:tcPr>
            <w:tcW w:w="826" w:type="dxa"/>
            <w:vAlign w:val="center"/>
          </w:tcPr>
          <w:p>
            <w:pPr>
              <w:pStyle w:val="CaselawNormal"/>
              <w:spacing w:before="150" w:after="150"/>
              <w:ind w:left="600"/>
              <w:jc w:val="left"/>
            </w:pPr>
            <w:r>
              <w:rPr>
                <w:rFonts w:ascii="Arial"/>
                <w:color w:val="000000"/>
                <w:sz w:val="24"/>
              </w:rPr>
              <w:t>…</w:t>
            </w:r>
          </w:p>
        </w:tc>
        <w:tc>
          <w:tcPr>
            <w:tcW w:w="6221"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908"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2485" w:type="dxa"/>
            <w:vAlign w:val="center"/>
          </w:tcPr>
          <w:p>
            <w:pPr>
              <w:spacing w:before="150" w:after="0"/>
              <w:ind w:left="0"/>
              <w:jc w:val="left"/>
            </w:pPr>
            <w:r>
              <w:rPr>
                <w:rFonts w:ascii="Arial"/>
                <w:b w:val="false"/>
                <w:i w:val="false"/>
                <w:color w:val="000000"/>
              </w:rPr>
              <w:t> </w:t>
            </w:r>
          </w:p>
        </w:tc>
      </w:tr>
      <w:tr>
        <w:trPr/>
        <w:tc>
          <w:tcPr>
            <w:tcW w:w="826" w:type="dxa"/>
            <w:vAlign w:val="center"/>
          </w:tcPr>
          <w:p>
            <w:pPr>
              <w:pStyle w:val="CaselawNormal"/>
              <w:spacing w:before="150" w:after="150"/>
              <w:ind w:left="600"/>
              <w:jc w:val="left"/>
            </w:pPr>
            <w:r>
              <w:rPr>
                <w:rFonts w:ascii="Arial"/>
                <w:color w:val="000000"/>
                <w:sz w:val="24"/>
              </w:rPr>
              <w:t>10.03</w:t>
            </w:r>
          </w:p>
        </w:tc>
        <w:tc>
          <w:tcPr>
            <w:tcW w:w="6221" w:type="dxa"/>
            <w:vAlign w:val="center"/>
          </w:tcPr>
          <w:p>
            <w:pPr>
              <w:pStyle w:val="CaselawNormal"/>
              <w:spacing w:before="150" w:after="150"/>
              <w:ind w:left="600"/>
              <w:jc w:val="left"/>
            </w:pPr>
            <w:r>
              <w:rPr>
                <w:rFonts w:ascii="Arial"/>
                <w:color w:val="000000"/>
                <w:sz w:val="24"/>
              </w:rPr>
              <w:t>Demolish and dispose existing dwellings on site</w:t>
            </w:r>
          </w:p>
        </w:tc>
        <w:tc>
          <w:tcPr>
            <w:tcW w:w="1780" w:type="dxa"/>
            <w:vAlign w:val="center"/>
          </w:tcPr>
          <w:p>
            <w:pPr>
              <w:pStyle w:val="CaselawNormal"/>
              <w:spacing w:before="150" w:after="150"/>
              <w:ind w:left="600"/>
              <w:jc w:val="left"/>
            </w:pPr>
            <w:r>
              <w:rPr>
                <w:rFonts w:ascii="Arial"/>
                <w:color w:val="000000"/>
                <w:sz w:val="24"/>
              </w:rPr>
              <w:t>$57,000.00</w:t>
            </w:r>
          </w:p>
        </w:tc>
        <w:tc>
          <w:tcPr>
            <w:tcW w:w="908" w:type="dxa"/>
            <w:vAlign w:val="center"/>
          </w:tcPr>
          <w:p>
            <w:pPr>
              <w:pStyle w:val="CaselawNormal"/>
              <w:spacing w:before="150" w:after="150"/>
              <w:ind w:left="600"/>
              <w:jc w:val="left"/>
            </w:pPr>
            <w:r>
              <w:rPr>
                <w:rFonts w:ascii="Arial"/>
                <w:color w:val="000000"/>
                <w:sz w:val="24"/>
              </w:rPr>
              <w:t>100%</w:t>
            </w:r>
          </w:p>
        </w:tc>
        <w:tc>
          <w:tcPr>
            <w:tcW w:w="1780" w:type="dxa"/>
            <w:vAlign w:val="center"/>
          </w:tcPr>
          <w:p>
            <w:pPr>
              <w:pStyle w:val="CaselawNormal"/>
              <w:spacing w:before="150" w:after="150"/>
              <w:ind w:left="600"/>
              <w:jc w:val="left"/>
            </w:pPr>
            <w:r>
              <w:rPr>
                <w:rFonts w:ascii="Arial"/>
                <w:color w:val="000000"/>
                <w:sz w:val="24"/>
              </w:rPr>
              <w:t>$ 57,000.00</w:t>
            </w:r>
          </w:p>
        </w:tc>
        <w:tc>
          <w:tcPr>
            <w:tcW w:w="2485" w:type="dxa"/>
            <w:vAlign w:val="center"/>
          </w:tcPr>
          <w:p>
            <w:pPr>
              <w:pStyle w:val="CaselawNormal"/>
              <w:spacing w:before="150" w:after="150"/>
              <w:ind w:left="600"/>
              <w:jc w:val="left"/>
            </w:pPr>
            <w:r>
              <w:rPr>
                <w:rFonts w:ascii="Arial"/>
                <w:color w:val="000000"/>
                <w:sz w:val="24"/>
              </w:rPr>
              <w:t>Complete</w:t>
            </w:r>
          </w:p>
        </w:tc>
      </w:tr>
      <w:tr>
        <w:trPr/>
        <w:tc>
          <w:tcPr>
            <w:tcW w:w="826" w:type="dxa"/>
            <w:vAlign w:val="center"/>
          </w:tcPr>
          <w:p>
            <w:pPr>
              <w:pStyle w:val="CaselawNormal"/>
              <w:spacing w:before="150" w:after="150"/>
              <w:ind w:left="600"/>
              <w:jc w:val="left"/>
            </w:pPr>
            <w:r>
              <w:rPr>
                <w:rFonts w:ascii="Arial"/>
                <w:color w:val="000000"/>
                <w:sz w:val="24"/>
              </w:rPr>
              <w:t>10.04</w:t>
            </w:r>
          </w:p>
        </w:tc>
        <w:tc>
          <w:tcPr>
            <w:tcW w:w="6221" w:type="dxa"/>
            <w:vAlign w:val="center"/>
          </w:tcPr>
          <w:p>
            <w:pPr>
              <w:pStyle w:val="CaselawNormal"/>
              <w:spacing w:before="150" w:after="150"/>
              <w:ind w:left="600"/>
              <w:jc w:val="left"/>
            </w:pPr>
            <w:r>
              <w:rPr>
                <w:rFonts w:ascii="Arial"/>
                <w:color w:val="000000"/>
                <w:sz w:val="24"/>
              </w:rPr>
              <w:t>Flatten site in preparation for construction (create site shed pads)</w:t>
            </w:r>
          </w:p>
        </w:tc>
        <w:tc>
          <w:tcPr>
            <w:tcW w:w="1780" w:type="dxa"/>
            <w:vAlign w:val="center"/>
          </w:tcPr>
          <w:p>
            <w:pPr>
              <w:pStyle w:val="CaselawNormal"/>
              <w:spacing w:before="150" w:after="150"/>
              <w:ind w:left="600"/>
              <w:jc w:val="left"/>
            </w:pPr>
            <w:r>
              <w:rPr>
                <w:rFonts w:ascii="Arial"/>
                <w:color w:val="000000"/>
                <w:sz w:val="24"/>
              </w:rPr>
              <w:t>$32,800.00</w:t>
            </w:r>
          </w:p>
        </w:tc>
        <w:tc>
          <w:tcPr>
            <w:tcW w:w="908" w:type="dxa"/>
            <w:vAlign w:val="center"/>
          </w:tcPr>
          <w:p>
            <w:pPr>
              <w:pStyle w:val="CaselawNormal"/>
              <w:spacing w:before="150" w:after="150"/>
              <w:ind w:left="600"/>
              <w:jc w:val="left"/>
            </w:pPr>
            <w:r>
              <w:rPr>
                <w:rFonts w:ascii="Arial"/>
                <w:color w:val="000000"/>
                <w:sz w:val="24"/>
              </w:rPr>
              <w:t>100%</w:t>
            </w:r>
          </w:p>
        </w:tc>
        <w:tc>
          <w:tcPr>
            <w:tcW w:w="1780" w:type="dxa"/>
            <w:vAlign w:val="center"/>
          </w:tcPr>
          <w:p>
            <w:pPr>
              <w:pStyle w:val="CaselawNormal"/>
              <w:spacing w:before="150" w:after="150"/>
              <w:ind w:left="600"/>
              <w:jc w:val="left"/>
            </w:pPr>
            <w:r>
              <w:rPr>
                <w:rFonts w:ascii="Arial"/>
                <w:color w:val="000000"/>
                <w:sz w:val="24"/>
              </w:rPr>
              <w:t>$32,800.00</w:t>
            </w:r>
          </w:p>
        </w:tc>
        <w:tc>
          <w:tcPr>
            <w:tcW w:w="2485" w:type="dxa"/>
            <w:vAlign w:val="center"/>
          </w:tcPr>
          <w:p>
            <w:pPr>
              <w:pStyle w:val="CaselawNormal"/>
              <w:spacing w:before="150" w:after="150"/>
              <w:ind w:left="600"/>
              <w:jc w:val="left"/>
            </w:pPr>
            <w:r>
              <w:rPr>
                <w:rFonts w:ascii="Arial"/>
                <w:color w:val="000000"/>
                <w:sz w:val="24"/>
              </w:rPr>
              <w:t>Complete</w:t>
            </w:r>
          </w:p>
        </w:tc>
      </w:tr>
      <w:tr>
        <w:trPr/>
        <w:tc>
          <w:tcPr>
            <w:tcW w:w="826" w:type="dxa"/>
            <w:vAlign w:val="center"/>
          </w:tcPr>
          <w:p>
            <w:pPr>
              <w:pStyle w:val="CaselawNormal"/>
              <w:spacing w:before="150" w:after="150"/>
              <w:ind w:left="600"/>
              <w:jc w:val="left"/>
            </w:pPr>
            <w:r>
              <w:rPr>
                <w:rFonts w:ascii="Arial"/>
                <w:color w:val="000000"/>
                <w:sz w:val="24"/>
              </w:rPr>
              <w:t>…</w:t>
            </w:r>
          </w:p>
        </w:tc>
        <w:tc>
          <w:tcPr>
            <w:tcW w:w="6221"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908"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2485" w:type="dxa"/>
            <w:vAlign w:val="center"/>
          </w:tcPr>
          <w:p>
            <w:pPr>
              <w:spacing w:before="150" w:after="0"/>
              <w:ind w:left="0"/>
              <w:jc w:val="left"/>
            </w:pPr>
            <w:r>
              <w:rPr>
                <w:rFonts w:ascii="Arial"/>
                <w:b w:val="false"/>
                <w:i w:val="false"/>
                <w:color w:val="000000"/>
              </w:rPr>
              <w:t> </w:t>
            </w:r>
          </w:p>
        </w:tc>
      </w:tr>
      <w:tr>
        <w:trPr/>
        <w:tc>
          <w:tcPr>
            <w:tcW w:w="826" w:type="dxa"/>
            <w:vAlign w:val="center"/>
          </w:tcPr>
          <w:p>
            <w:pPr>
              <w:pStyle w:val="CaselawNormal"/>
              <w:spacing w:before="150" w:after="150"/>
              <w:ind w:left="600"/>
              <w:jc w:val="left"/>
            </w:pPr>
            <w:r>
              <w:rPr>
                <w:rFonts w:ascii="Arial"/>
                <w:color w:val="000000"/>
                <w:sz w:val="24"/>
              </w:rPr>
              <w:t>11.02</w:t>
            </w:r>
          </w:p>
        </w:tc>
        <w:tc>
          <w:tcPr>
            <w:tcW w:w="6221" w:type="dxa"/>
            <w:vAlign w:val="center"/>
          </w:tcPr>
          <w:p>
            <w:pPr>
              <w:pStyle w:val="CaselawNormal"/>
              <w:spacing w:before="150" w:after="150"/>
              <w:ind w:left="600"/>
              <w:jc w:val="left"/>
            </w:pPr>
            <w:r>
              <w:rPr>
                <w:rFonts w:ascii="Arial"/>
                <w:color w:val="000000"/>
                <w:sz w:val="24"/>
              </w:rPr>
              <w:t>Strip site/ clear vegetation/ contaminated spoil/ dispose spoil</w:t>
            </w:r>
          </w:p>
        </w:tc>
        <w:tc>
          <w:tcPr>
            <w:tcW w:w="1780" w:type="dxa"/>
            <w:vAlign w:val="center"/>
          </w:tcPr>
          <w:p>
            <w:pPr>
              <w:pStyle w:val="CaselawNormal"/>
              <w:spacing w:before="150" w:after="150"/>
              <w:ind w:left="600"/>
              <w:jc w:val="left"/>
            </w:pPr>
            <w:r>
              <w:rPr>
                <w:rFonts w:ascii="Arial"/>
                <w:color w:val="000000"/>
                <w:sz w:val="24"/>
              </w:rPr>
              <w:t>$197,160.00</w:t>
            </w:r>
          </w:p>
        </w:tc>
        <w:tc>
          <w:tcPr>
            <w:tcW w:w="908" w:type="dxa"/>
            <w:vAlign w:val="center"/>
          </w:tcPr>
          <w:p>
            <w:pPr>
              <w:pStyle w:val="CaselawNormal"/>
              <w:spacing w:before="150" w:after="150"/>
              <w:ind w:left="600"/>
              <w:jc w:val="left"/>
            </w:pPr>
            <w:r>
              <w:rPr>
                <w:rFonts w:ascii="Arial"/>
                <w:color w:val="000000"/>
                <w:sz w:val="24"/>
              </w:rPr>
              <w:t>100%</w:t>
            </w:r>
          </w:p>
        </w:tc>
        <w:tc>
          <w:tcPr>
            <w:tcW w:w="1780" w:type="dxa"/>
            <w:vAlign w:val="center"/>
          </w:tcPr>
          <w:p>
            <w:pPr>
              <w:pStyle w:val="CaselawNormal"/>
              <w:spacing w:before="150" w:after="150"/>
              <w:ind w:left="600"/>
              <w:jc w:val="left"/>
            </w:pPr>
            <w:r>
              <w:rPr>
                <w:rFonts w:ascii="Arial"/>
                <w:color w:val="000000"/>
                <w:sz w:val="24"/>
              </w:rPr>
              <w:t>$197,160.00</w:t>
            </w:r>
          </w:p>
        </w:tc>
        <w:tc>
          <w:tcPr>
            <w:tcW w:w="2485" w:type="dxa"/>
            <w:vAlign w:val="center"/>
          </w:tcPr>
          <w:p>
            <w:pPr>
              <w:pStyle w:val="CaselawNormal"/>
              <w:spacing w:before="150" w:after="150"/>
              <w:ind w:left="600"/>
              <w:jc w:val="left"/>
            </w:pPr>
            <w:r>
              <w:rPr>
                <w:rFonts w:ascii="Arial"/>
                <w:color w:val="000000"/>
                <w:sz w:val="24"/>
              </w:rPr>
              <w:t>Complete</w:t>
            </w:r>
          </w:p>
        </w:tc>
      </w:tr>
    </w:tbl>
    <w:p>
      <w:pPr>
        <w:pStyle w:val="CaselawHeading3"/>
        <w:keepNext/>
        <w:spacing w:before="150" w:after="150" w:line="264"/>
        <w:ind w:left="0"/>
        <w:jc w:val="left"/>
      </w:pPr>
      <w:r>
        <w:rPr>
          <w:rFonts w:ascii="Arial"/>
        </w:rPr>
        <w:t>Payment Claim 4 sent on 22 September 2025</w:t>
      </w:r>
      <w:r>
        <w:rPr>
          <w:rFonts w:ascii="Arial"/>
        </w:rPr>
        <w:t xml:space="preserve"> </w:t>
      </w:r>
    </w:p>
    <w:p>
      <w:pPr>
        <w:pStyle w:val="CaselawNumbered10"/>
        <w:numPr>
          <w:ilvl w:val="0"/>
          <w:numId w:val="30"/>
        </w:numPr>
        <w:spacing w:before="150" w:after="0"/>
        <w:ind w:left="600" w:hanging="600"/>
      </w:pPr>
      <w:r>
        <w:rPr>
          <w:rFonts w:ascii="Arial"/>
          <w:color w:val="000000"/>
          <w:sz w:val="24"/>
        </w:rPr>
        <w:t>PC4</w:t>
      </w:r>
      <w:r>
        <w:rPr>
          <w:rFonts w:ascii="Arial"/>
          <w:color w:val="000000"/>
          <w:sz w:val="24"/>
        </w:rPr>
        <w:t xml:space="preserve"> </w:t>
      </w:r>
      <w:r>
        <w:rPr>
          <w:rFonts w:ascii="Arial"/>
          <w:color w:val="000000"/>
          <w:sz w:val="24"/>
        </w:rPr>
        <w:t xml:space="preserve">was in a similar form to PC3. It was sent by email on 22 September 2025. The cover email </w:t>
      </w:r>
      <w:r>
        <w:rPr>
          <w:rFonts w:ascii="Arial"/>
          <w:color w:val="000000"/>
          <w:sz w:val="24"/>
        </w:rPr>
        <w:t>did</w:t>
      </w:r>
      <w:r>
        <w:rPr>
          <w:rFonts w:ascii="Arial"/>
          <w:color w:val="000000"/>
          <w:sz w:val="24"/>
        </w:rPr>
        <w:t xml:space="preserve"> </w:t>
      </w:r>
      <w:r>
        <w:rPr>
          <w:rFonts w:ascii="Arial"/>
          <w:color w:val="000000"/>
          <w:sz w:val="24"/>
        </w:rPr>
        <w:t>not provide any substantive explanation</w:t>
      </w:r>
      <w:r>
        <w:rPr>
          <w:rFonts w:ascii="Arial"/>
          <w:color w:val="000000"/>
          <w:sz w:val="24"/>
        </w:rPr>
        <w:t xml:space="preserve"> </w:t>
      </w:r>
      <w:r>
        <w:rPr>
          <w:rFonts w:ascii="Arial"/>
          <w:color w:val="000000"/>
          <w:sz w:val="24"/>
        </w:rPr>
        <w:t>of the claim</w:t>
      </w:r>
      <w:r>
        <w:rPr>
          <w:rFonts w:ascii="Arial"/>
          <w:color w:val="000000"/>
          <w:sz w:val="24"/>
        </w:rPr>
        <w:t xml:space="preserve">. It simply reads </w:t>
      </w:r>
      <w:r>
        <w:rPr>
          <w:rFonts w:ascii="Arial"/>
          <w:color w:val="000000"/>
          <w:sz w:val="24"/>
        </w:rPr>
        <w:t>“</w:t>
      </w:r>
      <w:r>
        <w:rPr>
          <w:rFonts w:ascii="Arial"/>
          <w:color w:val="000000"/>
          <w:sz w:val="24"/>
        </w:rPr>
        <w:t xml:space="preserve">[p]lease </w:t>
      </w:r>
      <w:r>
        <w:rPr>
          <w:rFonts w:ascii="Arial"/>
          <w:color w:val="000000"/>
          <w:sz w:val="24"/>
        </w:rPr>
        <w:t>find</w:t>
      </w:r>
      <w:r>
        <w:rPr>
          <w:rFonts w:ascii="Arial"/>
          <w:color w:val="000000"/>
          <w:sz w:val="24"/>
        </w:rPr>
        <w:t xml:space="preserve"> </w:t>
      </w:r>
      <w:r>
        <w:rPr>
          <w:rFonts w:ascii="Arial"/>
          <w:color w:val="000000"/>
          <w:sz w:val="24"/>
        </w:rPr>
        <w:t>attached payment claim 04 for Gosford</w:t>
      </w:r>
      <w:r>
        <w:rPr>
          <w:rFonts w:ascii="Arial"/>
          <w:color w:val="000000"/>
          <w:sz w:val="24"/>
        </w:rPr>
        <w:t>”</w:t>
      </w:r>
      <w:r>
        <w:rPr>
          <w:rFonts w:ascii="Arial"/>
          <w:color w:val="000000"/>
          <w:sz w:val="24"/>
        </w:rPr>
        <w:t>. As with PC3, the email attached a tax invoice, a subcontractor</w:t>
      </w:r>
      <w:r>
        <w:rPr>
          <w:rFonts w:ascii="Arial"/>
          <w:color w:val="000000"/>
          <w:sz w:val="24"/>
        </w:rPr>
        <w:t>’</w:t>
      </w:r>
      <w:r>
        <w:rPr>
          <w:rFonts w:ascii="Arial"/>
          <w:color w:val="000000"/>
          <w:sz w:val="24"/>
        </w:rPr>
        <w:t>s statement and a lengthy trade breakdown.</w:t>
      </w:r>
    </w:p>
    <w:p>
      <w:pPr>
        <w:pStyle w:val="CaselawNumbered10"/>
        <w:numPr>
          <w:ilvl w:val="0"/>
          <w:numId w:val="30"/>
        </w:numPr>
        <w:spacing w:before="150" w:after="0"/>
        <w:ind w:left="600" w:hanging="600"/>
      </w:pPr>
      <w:r>
        <w:rPr>
          <w:rFonts w:ascii="Arial"/>
          <w:color w:val="000000"/>
          <w:sz w:val="24"/>
        </w:rPr>
        <w:t>The tax invoice</w:t>
      </w:r>
      <w:r>
        <w:rPr>
          <w:rFonts w:ascii="Arial"/>
          <w:color w:val="000000"/>
          <w:sz w:val="24"/>
        </w:rPr>
        <w:t xml:space="preserve"> </w:t>
      </w:r>
      <w:r>
        <w:rPr>
          <w:rFonts w:ascii="Arial"/>
          <w:color w:val="000000"/>
          <w:sz w:val="24"/>
        </w:rPr>
        <w:t>for PC4</w:t>
      </w:r>
      <w:r>
        <w:rPr>
          <w:rFonts w:ascii="Arial"/>
          <w:color w:val="000000"/>
          <w:sz w:val="24"/>
        </w:rPr>
        <w:t xml:space="preserve"> </w:t>
      </w:r>
      <w:r>
        <w:rPr>
          <w:rFonts w:ascii="Arial"/>
          <w:color w:val="000000"/>
          <w:sz w:val="24"/>
        </w:rPr>
        <w:t xml:space="preserve">is dated 22 September 2025. The invoice </w:t>
      </w:r>
      <w:r>
        <w:rPr>
          <w:rFonts w:ascii="Arial"/>
          <w:color w:val="000000"/>
          <w:sz w:val="24"/>
        </w:rPr>
        <w:t xml:space="preserve">refers to certain delay costs, and identifies the following amounts as </w:t>
      </w:r>
      <w:r>
        <w:rPr>
          <w:rFonts w:ascii="Arial"/>
          <w:color w:val="000000"/>
          <w:sz w:val="24"/>
        </w:rPr>
        <w:t xml:space="preserve">also </w:t>
      </w:r>
      <w:r>
        <w:rPr>
          <w:rFonts w:ascii="Arial"/>
          <w:color w:val="000000"/>
          <w:sz w:val="24"/>
        </w:rPr>
        <w:t>being payable:</w:t>
      </w:r>
    </w:p>
    <w:p>
      <w:pPr>
        <w:pStyle w:val="CaselawNumbered1"/>
        <w:numPr>
          <w:ilvl w:val="0"/>
          <w:numId w:val="31"/>
        </w:numPr>
        <w:spacing w:before="150" w:after="0"/>
        <w:ind w:left="1350" w:hanging="750"/>
      </w:pPr>
      <w:r>
        <w:rPr>
          <w:rFonts w:ascii="Arial"/>
          <w:color w:val="000000"/>
          <w:sz w:val="24"/>
        </w:rPr>
        <w:t>“</w:t>
      </w:r>
      <w:r>
        <w:rPr>
          <w:rFonts w:ascii="Arial"/>
          <w:color w:val="000000"/>
          <w:sz w:val="24"/>
        </w:rPr>
        <w:t>Payment claim 4 for contract works (as per trade breakdown)</w:t>
      </w:r>
      <w:r>
        <w:rPr>
          <w:rFonts w:ascii="Arial"/>
          <w:color w:val="000000"/>
          <w:sz w:val="24"/>
        </w:rPr>
        <w:t>”</w:t>
      </w:r>
      <w:r>
        <w:rPr>
          <w:rFonts w:ascii="Arial"/>
          <w:color w:val="000000"/>
          <w:sz w:val="24"/>
        </w:rPr>
        <w:t xml:space="preserve">. The amount recorded against this item is $2,678,822.23, inclusive of </w:t>
      </w:r>
      <w:r>
        <w:rPr>
          <w:rFonts w:ascii="Arial"/>
          <w:color w:val="000000"/>
          <w:sz w:val="24"/>
        </w:rPr>
        <w:t>GST;</w:t>
      </w:r>
    </w:p>
    <w:p>
      <w:pPr>
        <w:pStyle w:val="CaselawNumbered1"/>
        <w:numPr>
          <w:ilvl w:val="0"/>
          <w:numId w:val="31"/>
        </w:numPr>
        <w:spacing w:before="150" w:after="0"/>
        <w:ind w:left="1350" w:hanging="750"/>
      </w:pPr>
      <w:r>
        <w:rPr>
          <w:rFonts w:ascii="Arial"/>
          <w:color w:val="000000"/>
          <w:sz w:val="24"/>
        </w:rPr>
        <w:t>“</w:t>
      </w:r>
      <w:r>
        <w:rPr>
          <w:rFonts w:ascii="Arial"/>
          <w:color w:val="000000"/>
          <w:sz w:val="24"/>
        </w:rPr>
        <w:t xml:space="preserve">QS claim assessment (refer Schedule 6 </w:t>
      </w:r>
      <w:r>
        <w:rPr>
          <w:rFonts w:ascii="Arial"/>
          <w:color w:val="000000"/>
          <w:sz w:val="24"/>
        </w:rPr>
        <w:t xml:space="preserve">– </w:t>
      </w:r>
      <w:r>
        <w:rPr>
          <w:rFonts w:ascii="Arial"/>
          <w:color w:val="000000"/>
          <w:sz w:val="24"/>
        </w:rPr>
        <w:t>Special Conditions)</w:t>
      </w:r>
      <w:r>
        <w:rPr>
          <w:rFonts w:ascii="Arial"/>
          <w:color w:val="000000"/>
          <w:sz w:val="24"/>
        </w:rPr>
        <w:t>”</w:t>
      </w:r>
      <w:r>
        <w:rPr>
          <w:rFonts w:ascii="Arial"/>
          <w:color w:val="000000"/>
          <w:sz w:val="24"/>
        </w:rPr>
        <w:t xml:space="preserve">. The amount recorded against this item is $5,500.00, inclusive of </w:t>
      </w:r>
      <w:r>
        <w:rPr>
          <w:rFonts w:ascii="Arial"/>
          <w:color w:val="000000"/>
          <w:sz w:val="24"/>
        </w:rPr>
        <w:t>GST;</w:t>
      </w:r>
    </w:p>
    <w:p>
      <w:pPr>
        <w:pStyle w:val="CaselawNumbered1"/>
        <w:numPr>
          <w:ilvl w:val="0"/>
          <w:numId w:val="31"/>
        </w:numPr>
        <w:spacing w:before="150" w:after="0"/>
        <w:ind w:left="1350" w:hanging="750"/>
      </w:pPr>
      <w:r>
        <w:rPr>
          <w:rFonts w:ascii="Arial"/>
          <w:color w:val="000000"/>
          <w:sz w:val="24"/>
        </w:rPr>
        <w:t>“</w:t>
      </w:r>
      <w:r>
        <w:rPr>
          <w:rFonts w:ascii="Arial"/>
          <w:color w:val="000000"/>
          <w:sz w:val="24"/>
        </w:rPr>
        <w:t>Plus</w:t>
      </w:r>
      <w:r>
        <w:rPr>
          <w:rFonts w:ascii="Arial"/>
          <w:color w:val="000000"/>
          <w:sz w:val="24"/>
        </w:rPr>
        <w:t xml:space="preserve"> </w:t>
      </w:r>
      <w:r>
        <w:rPr>
          <w:rFonts w:ascii="Arial"/>
          <w:color w:val="000000"/>
          <w:sz w:val="24"/>
        </w:rPr>
        <w:t>the unpaid balance from Payment Claim 01 (BS67)</w:t>
      </w:r>
      <w:r>
        <w:rPr>
          <w:rFonts w:ascii="Arial"/>
          <w:color w:val="000000"/>
          <w:sz w:val="24"/>
        </w:rPr>
        <w:t>”</w:t>
      </w:r>
      <w:r>
        <w:rPr>
          <w:rFonts w:ascii="Arial"/>
          <w:color w:val="000000"/>
          <w:sz w:val="24"/>
        </w:rPr>
        <w:t>. The amount recorded against this item is $14,039.96, inclusive of GST; and</w:t>
      </w:r>
    </w:p>
    <w:p>
      <w:pPr>
        <w:pStyle w:val="CaselawNumbered1"/>
        <w:numPr>
          <w:ilvl w:val="0"/>
          <w:numId w:val="31"/>
        </w:numPr>
        <w:spacing w:before="150" w:after="0"/>
        <w:ind w:left="1350" w:hanging="750"/>
      </w:pPr>
      <w:r>
        <w:rPr>
          <w:rFonts w:ascii="Arial"/>
          <w:color w:val="000000"/>
          <w:sz w:val="24"/>
        </w:rPr>
        <w:t>“</w:t>
      </w:r>
      <w:r>
        <w:rPr>
          <w:rFonts w:ascii="Arial"/>
          <w:color w:val="000000"/>
          <w:sz w:val="24"/>
        </w:rPr>
        <w:t>Plus</w:t>
      </w:r>
      <w:r>
        <w:rPr>
          <w:rFonts w:ascii="Arial"/>
          <w:color w:val="000000"/>
          <w:sz w:val="24"/>
        </w:rPr>
        <w:t xml:space="preserve"> </w:t>
      </w:r>
      <w:r>
        <w:rPr>
          <w:rFonts w:ascii="Arial"/>
          <w:color w:val="000000"/>
          <w:sz w:val="24"/>
        </w:rPr>
        <w:t>the unpaid balance from Payment Claim 03 (BS90)</w:t>
      </w:r>
      <w:r>
        <w:rPr>
          <w:rFonts w:ascii="Arial"/>
          <w:color w:val="000000"/>
          <w:sz w:val="24"/>
        </w:rPr>
        <w:t>”</w:t>
      </w:r>
      <w:r>
        <w:rPr>
          <w:rFonts w:ascii="Arial"/>
          <w:color w:val="000000"/>
          <w:sz w:val="24"/>
        </w:rPr>
        <w:t>. The amount recorded against this item is $460,464.25, inclusive of GST.</w:t>
      </w:r>
    </w:p>
    <w:p>
      <w:pPr>
        <w:pStyle w:val="CaselawNumbered10"/>
        <w:numPr>
          <w:ilvl w:val="0"/>
          <w:numId w:val="32"/>
        </w:numPr>
        <w:spacing w:before="150" w:after="0"/>
        <w:ind w:left="600" w:hanging="600"/>
      </w:pPr>
      <w:r>
        <w:rPr>
          <w:rFonts w:ascii="Arial"/>
          <w:color w:val="000000"/>
          <w:sz w:val="24"/>
        </w:rPr>
        <w:t xml:space="preserve">The total amount in the tax invoice is $3,679,593.90. As with the tax invoice for PC3, the tax invoice for PC4 states that it is a </w:t>
      </w:r>
      <w:r>
        <w:rPr>
          <w:rFonts w:ascii="Arial"/>
          <w:color w:val="000000"/>
          <w:sz w:val="24"/>
        </w:rPr>
        <w:t>“</w:t>
      </w:r>
      <w:r>
        <w:rPr>
          <w:rFonts w:ascii="Arial"/>
          <w:color w:val="000000"/>
          <w:sz w:val="24"/>
        </w:rPr>
        <w:t xml:space="preserve">payment claim </w:t>
      </w:r>
      <w:r>
        <w:rPr>
          <w:rFonts w:ascii="Arial"/>
          <w:color w:val="000000"/>
          <w:sz w:val="24"/>
        </w:rPr>
        <w:t>…</w:t>
      </w:r>
      <w:r>
        <w:rPr>
          <w:rFonts w:ascii="Arial"/>
          <w:color w:val="000000"/>
          <w:sz w:val="24"/>
        </w:rPr>
        <w:t xml:space="preserve"> </w:t>
      </w:r>
      <w:r>
        <w:rPr>
          <w:rFonts w:ascii="Arial"/>
          <w:color w:val="000000"/>
          <w:sz w:val="24"/>
        </w:rPr>
        <w:t xml:space="preserve">made under </w:t>
      </w:r>
      <w:r>
        <w:rPr>
          <w:rFonts w:ascii="Arial"/>
          <w:color w:val="000000"/>
          <w:sz w:val="24"/>
        </w:rPr>
        <w:t>‘</w:t>
      </w:r>
      <w:r>
        <w:rPr>
          <w:rFonts w:ascii="Arial"/>
          <w:color w:val="000000"/>
          <w:sz w:val="24"/>
        </w:rPr>
        <w:t>the Building and Construction Industry Security of Payment Act 1999</w:t>
      </w:r>
      <w:r>
        <w:rPr>
          <w:rFonts w:ascii="Arial"/>
          <w:color w:val="000000"/>
          <w:sz w:val="24"/>
        </w:rPr>
        <w:t>’”</w:t>
      </w:r>
      <w:r>
        <w:rPr>
          <w:rFonts w:ascii="Arial"/>
          <w:color w:val="000000"/>
          <w:sz w:val="24"/>
        </w:rPr>
        <w:t>.</w:t>
      </w:r>
    </w:p>
    <w:p>
      <w:pPr>
        <w:pStyle w:val="CaselawNumbered10"/>
        <w:numPr>
          <w:ilvl w:val="0"/>
          <w:numId w:val="32"/>
        </w:numPr>
        <w:spacing w:before="150" w:after="0"/>
        <w:ind w:left="600" w:hanging="600"/>
      </w:pPr>
      <w:r>
        <w:rPr>
          <w:rFonts w:ascii="Arial"/>
          <w:color w:val="000000"/>
          <w:sz w:val="24"/>
        </w:rPr>
        <w:t>The subcontractor</w:t>
      </w:r>
      <w:r>
        <w:rPr>
          <w:rFonts w:ascii="Arial"/>
          <w:color w:val="000000"/>
          <w:sz w:val="24"/>
        </w:rPr>
        <w:t>’</w:t>
      </w:r>
      <w:r>
        <w:rPr>
          <w:rFonts w:ascii="Arial"/>
          <w:color w:val="000000"/>
          <w:sz w:val="24"/>
        </w:rPr>
        <w:t xml:space="preserve">s statement contains a statement that it applies for work between 22 </w:t>
      </w:r>
      <w:r>
        <w:rPr>
          <w:rFonts w:ascii="Arial"/>
          <w:color w:val="000000"/>
          <w:sz w:val="24"/>
        </w:rPr>
        <w:t>August</w:t>
      </w:r>
      <w:r>
        <w:rPr>
          <w:rFonts w:ascii="Arial"/>
          <w:color w:val="000000"/>
          <w:sz w:val="24"/>
        </w:rPr>
        <w:t xml:space="preserve"> </w:t>
      </w:r>
      <w:r>
        <w:rPr>
          <w:rFonts w:ascii="Arial"/>
          <w:color w:val="000000"/>
          <w:sz w:val="24"/>
        </w:rPr>
        <w:t xml:space="preserve">2025 and 21 </w:t>
      </w:r>
      <w:r>
        <w:rPr>
          <w:rFonts w:ascii="Arial"/>
          <w:color w:val="000000"/>
          <w:sz w:val="24"/>
        </w:rPr>
        <w:t>September</w:t>
      </w:r>
      <w:r>
        <w:rPr>
          <w:rFonts w:ascii="Arial"/>
          <w:color w:val="000000"/>
          <w:sz w:val="24"/>
        </w:rPr>
        <w:t xml:space="preserve"> </w:t>
      </w:r>
      <w:r>
        <w:rPr>
          <w:rFonts w:ascii="Arial"/>
          <w:color w:val="000000"/>
          <w:sz w:val="24"/>
        </w:rPr>
        <w:t>2025 inclusive.</w:t>
      </w:r>
      <w:r>
        <w:rPr>
          <w:rFonts w:ascii="Arial"/>
          <w:color w:val="000000"/>
          <w:sz w:val="24"/>
        </w:rPr>
        <w:t xml:space="preserve"> </w:t>
      </w:r>
    </w:p>
    <w:p>
      <w:pPr>
        <w:pStyle w:val="CaselawNumbered10"/>
        <w:numPr>
          <w:ilvl w:val="0"/>
          <w:numId w:val="32"/>
        </w:numPr>
        <w:spacing w:before="150" w:after="0"/>
        <w:ind w:left="600" w:hanging="600"/>
      </w:pPr>
      <w:r>
        <w:rPr>
          <w:rFonts w:ascii="Arial"/>
          <w:color w:val="000000"/>
          <w:sz w:val="24"/>
        </w:rPr>
        <w:t xml:space="preserve">The trade breakdown </w:t>
      </w:r>
      <w:r>
        <w:rPr>
          <w:rFonts w:ascii="Arial"/>
          <w:color w:val="000000"/>
          <w:sz w:val="24"/>
        </w:rPr>
        <w:t xml:space="preserve">for PC4 </w:t>
      </w:r>
      <w:r>
        <w:rPr>
          <w:rFonts w:ascii="Arial"/>
          <w:color w:val="000000"/>
          <w:sz w:val="24"/>
        </w:rPr>
        <w:t xml:space="preserve">is a table in the same format as the trade breakdown accompanying PC3. There are again </w:t>
      </w:r>
      <w:r>
        <w:rPr>
          <w:rFonts w:ascii="Arial"/>
          <w:color w:val="000000"/>
          <w:sz w:val="24"/>
        </w:rPr>
        <w:t>a large number of</w:t>
      </w:r>
      <w:r>
        <w:rPr>
          <w:rFonts w:ascii="Arial"/>
          <w:color w:val="000000"/>
          <w:sz w:val="24"/>
        </w:rPr>
        <w:t xml:space="preserve"> </w:t>
      </w:r>
      <w:r>
        <w:rPr>
          <w:rFonts w:ascii="Arial"/>
          <w:color w:val="000000"/>
          <w:sz w:val="24"/>
        </w:rPr>
        <w:t xml:space="preserve">items where no amount is claimed and the entry in the column headed </w:t>
      </w:r>
      <w:r>
        <w:rPr>
          <w:rFonts w:ascii="Arial"/>
          <w:color w:val="000000"/>
          <w:sz w:val="24"/>
        </w:rPr>
        <w:t>“</w:t>
      </w:r>
      <w:r>
        <w:rPr>
          <w:rFonts w:ascii="Arial"/>
          <w:color w:val="000000"/>
          <w:sz w:val="24"/>
        </w:rPr>
        <w:t>Description of Individual Breakdown</w:t>
      </w:r>
      <w:r>
        <w:rPr>
          <w:rFonts w:ascii="Arial"/>
          <w:color w:val="000000"/>
          <w:sz w:val="24"/>
        </w:rPr>
        <w:t xml:space="preserve">” </w:t>
      </w:r>
      <w:r>
        <w:rPr>
          <w:rFonts w:ascii="Arial"/>
          <w:color w:val="000000"/>
          <w:sz w:val="24"/>
        </w:rPr>
        <w:t xml:space="preserve">is </w:t>
      </w:r>
      <w:r>
        <w:rPr>
          <w:rFonts w:ascii="Arial"/>
          <w:color w:val="000000"/>
          <w:sz w:val="24"/>
        </w:rPr>
        <w:t>“</w:t>
      </w:r>
      <w:r>
        <w:rPr>
          <w:rFonts w:ascii="Arial"/>
          <w:color w:val="000000"/>
          <w:sz w:val="24"/>
        </w:rPr>
        <w:t>not applicable</w:t>
      </w:r>
      <w:r>
        <w:rPr>
          <w:rFonts w:ascii="Arial"/>
          <w:color w:val="000000"/>
          <w:sz w:val="24"/>
        </w:rPr>
        <w:t>”</w:t>
      </w:r>
      <w:r>
        <w:rPr>
          <w:rFonts w:ascii="Arial"/>
          <w:color w:val="000000"/>
          <w:sz w:val="24"/>
        </w:rPr>
        <w:t xml:space="preserve">. For those entries that were already the subject of a 100% claim in PC3, the relevant item is described as </w:t>
      </w:r>
      <w:r>
        <w:rPr>
          <w:rFonts w:ascii="Arial"/>
          <w:color w:val="000000"/>
          <w:sz w:val="24"/>
        </w:rPr>
        <w:t>“</w:t>
      </w:r>
      <w:r>
        <w:rPr>
          <w:rFonts w:ascii="Arial"/>
          <w:color w:val="000000"/>
          <w:sz w:val="24"/>
        </w:rPr>
        <w:t>Complete</w:t>
      </w:r>
      <w:r>
        <w:rPr>
          <w:rFonts w:ascii="Arial"/>
          <w:color w:val="000000"/>
          <w:sz w:val="24"/>
        </w:rPr>
        <w:t>”</w:t>
      </w:r>
      <w:r>
        <w:rPr>
          <w:rFonts w:ascii="Arial"/>
          <w:color w:val="000000"/>
          <w:sz w:val="24"/>
        </w:rPr>
        <w:t>, and no further amount is identified as being an amount claimed in PC4 (for example, line items 10.03, 10.04 and 11.02</w:t>
      </w:r>
      <w:r>
        <w:rPr>
          <w:rFonts w:ascii="Arial"/>
          <w:color w:val="000000"/>
          <w:sz w:val="24"/>
        </w:rPr>
        <w:t>)</w:t>
      </w:r>
      <w:r>
        <w:rPr>
          <w:rFonts w:ascii="Arial"/>
          <w:color w:val="000000"/>
          <w:sz w:val="24"/>
        </w:rPr>
        <w:t>. Large amounts are claimed in relation to line items that were not the subject of a claim in PC3. Examples include the following:</w:t>
      </w:r>
      <w:r>
        <w:rPr>
          <w:rFonts w:ascii="Arial"/>
          <w:color w:val="000000"/>
          <w:sz w:val="24"/>
        </w:rPr>
        <w:t xml:space="preserve"> </w:t>
      </w:r>
    </w:p>
    <w:tbl>
      <w:tblPr>
        <w:tblW w:w="0" w:type="auto"/>
        <w:tblCellSpacing w:w="0" w:type="auto"/>
        <w:tblInd w:w="115"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Pr>
      <w:tblGrid>
        <w:gridCol w:w="889"/>
        <w:gridCol w:w="5234"/>
        <w:gridCol w:w="1780"/>
        <w:gridCol w:w="819"/>
        <w:gridCol w:w="1780"/>
        <w:gridCol w:w="3498"/>
      </w:tblGrid>
      <w:tr>
        <w:trPr/>
        <w:tc>
          <w:tcPr>
            <w:tcW w:w="889" w:type="dxa"/>
            <w:vAlign w:val="center"/>
          </w:tcPr>
          <w:p>
            <w:pPr>
              <w:pStyle w:val="CaselawNormal"/>
              <w:spacing w:before="150" w:after="150"/>
              <w:ind w:left="600"/>
              <w:jc w:val="left"/>
            </w:pPr>
            <w:r>
              <w:rPr>
                <w:rFonts w:ascii="Arial"/>
                <w:b/>
                <w:color w:val="000000"/>
                <w:sz w:val="24"/>
              </w:rPr>
              <w:t>Item no.</w:t>
            </w:r>
          </w:p>
        </w:tc>
        <w:tc>
          <w:tcPr>
            <w:tcW w:w="5234" w:type="dxa"/>
            <w:vAlign w:val="center"/>
          </w:tcPr>
          <w:p>
            <w:pPr>
              <w:pStyle w:val="CaselawNormal"/>
              <w:spacing w:before="150" w:after="150"/>
              <w:ind w:left="600"/>
              <w:jc w:val="left"/>
            </w:pPr>
            <w:r>
              <w:rPr>
                <w:rFonts w:ascii="Arial"/>
                <w:b/>
                <w:color w:val="000000"/>
                <w:sz w:val="24"/>
              </w:rPr>
              <w:t>Description</w:t>
            </w:r>
          </w:p>
        </w:tc>
        <w:tc>
          <w:tcPr>
            <w:tcW w:w="1780" w:type="dxa"/>
            <w:vAlign w:val="center"/>
          </w:tcPr>
          <w:p>
            <w:pPr>
              <w:pStyle w:val="CaselawNormal"/>
              <w:spacing w:before="150" w:after="150"/>
              <w:ind w:left="600"/>
              <w:jc w:val="left"/>
            </w:pPr>
            <w:r>
              <w:rPr>
                <w:rFonts w:ascii="Arial"/>
                <w:b/>
                <w:color w:val="000000"/>
                <w:sz w:val="24"/>
              </w:rPr>
              <w:t>Subtotal</w:t>
            </w:r>
          </w:p>
        </w:tc>
        <w:tc>
          <w:tcPr>
            <w:tcW w:w="0" w:type="auto"/>
            <w:gridSpan w:val="2"/>
            <w:vAlign w:val="center"/>
          </w:tcPr>
          <w:p>
            <w:pPr>
              <w:pStyle w:val="CaselawNormal"/>
              <w:spacing w:before="150" w:after="150"/>
              <w:ind w:left="600"/>
              <w:jc w:val="left"/>
            </w:pPr>
            <w:r>
              <w:rPr>
                <w:rFonts w:ascii="Arial"/>
                <w:b/>
                <w:color w:val="000000"/>
                <w:sz w:val="24"/>
              </w:rPr>
              <w:t>PC-4 – September 2025</w:t>
            </w:r>
          </w:p>
        </w:tc>
        <w:tc>
          <w:tcPr>
            <w:tcW w:w="3498" w:type="dxa"/>
            <w:vAlign w:val="center"/>
          </w:tcPr>
          <w:p>
            <w:pPr>
              <w:pStyle w:val="CaselawNormal"/>
              <w:spacing w:before="150" w:after="150"/>
              <w:ind w:left="600"/>
              <w:jc w:val="left"/>
            </w:pPr>
            <w:r>
              <w:rPr>
                <w:rFonts w:ascii="Arial"/>
                <w:b/>
                <w:color w:val="000000"/>
                <w:sz w:val="24"/>
              </w:rPr>
              <w:t>Description of Individual Breakdown</w:t>
            </w:r>
          </w:p>
        </w:tc>
      </w:tr>
      <w:tr>
        <w:trPr/>
        <w:tc>
          <w:tcPr>
            <w:tcW w:w="889" w:type="dxa"/>
            <w:vAlign w:val="center"/>
          </w:tcPr>
          <w:p>
            <w:pPr>
              <w:pStyle w:val="CaselawNormal"/>
              <w:spacing w:before="150" w:after="150"/>
              <w:ind w:left="600"/>
              <w:jc w:val="left"/>
            </w:pPr>
            <w:r>
              <w:rPr>
                <w:rFonts w:ascii="Arial"/>
                <w:color w:val="000000"/>
                <w:sz w:val="24"/>
              </w:rPr>
              <w:t>4.06</w:t>
            </w:r>
          </w:p>
        </w:tc>
        <w:tc>
          <w:tcPr>
            <w:tcW w:w="5234" w:type="dxa"/>
            <w:vAlign w:val="center"/>
          </w:tcPr>
          <w:p>
            <w:pPr>
              <w:pStyle w:val="CaselawNormal"/>
              <w:spacing w:before="150" w:after="150"/>
              <w:ind w:left="600"/>
              <w:jc w:val="left"/>
            </w:pPr>
            <w:r>
              <w:rPr>
                <w:rFonts w:ascii="Arial"/>
                <w:color w:val="000000"/>
                <w:sz w:val="24"/>
              </w:rPr>
              <w:t>Labourer</w:t>
            </w:r>
          </w:p>
        </w:tc>
        <w:tc>
          <w:tcPr>
            <w:tcW w:w="1780" w:type="dxa"/>
            <w:vAlign w:val="center"/>
          </w:tcPr>
          <w:p>
            <w:pPr>
              <w:pStyle w:val="CaselawNormal"/>
              <w:spacing w:before="150" w:after="150"/>
              <w:ind w:left="600"/>
              <w:jc w:val="left"/>
            </w:pPr>
            <w:r>
              <w:rPr>
                <w:rFonts w:ascii="Arial"/>
                <w:color w:val="000000"/>
                <w:sz w:val="24"/>
              </w:rPr>
              <w:t>$78,000.00</w:t>
            </w:r>
          </w:p>
        </w:tc>
        <w:tc>
          <w:tcPr>
            <w:tcW w:w="819" w:type="dxa"/>
            <w:vAlign w:val="center"/>
          </w:tcPr>
          <w:p>
            <w:pPr>
              <w:spacing w:before="150" w:after="0"/>
              <w:ind w:left="0"/>
              <w:jc w:val="left"/>
            </w:pPr>
            <w:r>
              <w:rPr>
                <w:rFonts w:ascii="Arial"/>
                <w:b w:val="false"/>
                <w:i w:val="false"/>
                <w:color w:val="000000"/>
              </w:rPr>
              <w:t> </w:t>
            </w:r>
          </w:p>
        </w:tc>
        <w:tc>
          <w:tcPr>
            <w:tcW w:w="1780" w:type="dxa"/>
            <w:vAlign w:val="center"/>
          </w:tcPr>
          <w:p>
            <w:pPr>
              <w:pStyle w:val="CaselawNormal"/>
              <w:spacing w:before="150" w:after="150"/>
              <w:ind w:left="600"/>
              <w:jc w:val="left"/>
            </w:pPr>
            <w:r>
              <w:rPr>
                <w:rFonts w:ascii="Arial"/>
                <w:color w:val="000000"/>
                <w:sz w:val="24"/>
              </w:rPr>
              <w:t>$15,600.00</w:t>
            </w:r>
          </w:p>
        </w:tc>
        <w:tc>
          <w:tcPr>
            <w:tcW w:w="3498" w:type="dxa"/>
            <w:vAlign w:val="center"/>
          </w:tcPr>
          <w:p>
            <w:pPr>
              <w:pStyle w:val="CaselawNormal"/>
              <w:spacing w:before="150" w:after="150"/>
              <w:ind w:left="600"/>
              <w:jc w:val="left"/>
            </w:pPr>
            <w:r>
              <w:rPr>
                <w:rFonts w:ascii="Arial"/>
                <w:color w:val="000000"/>
                <w:sz w:val="24"/>
              </w:rPr>
              <w:t>Labour for demobilisation</w:t>
            </w:r>
          </w:p>
        </w:tc>
      </w:tr>
      <w:tr>
        <w:trPr/>
        <w:tc>
          <w:tcPr>
            <w:tcW w:w="889" w:type="dxa"/>
            <w:vAlign w:val="center"/>
          </w:tcPr>
          <w:p>
            <w:pPr>
              <w:pStyle w:val="CaselawNormal"/>
              <w:spacing w:before="150" w:after="150"/>
              <w:ind w:left="600"/>
              <w:jc w:val="left"/>
            </w:pPr>
            <w:r>
              <w:rPr>
                <w:rFonts w:ascii="Arial"/>
                <w:color w:val="000000"/>
                <w:sz w:val="24"/>
              </w:rPr>
              <w:t>…</w:t>
            </w:r>
          </w:p>
        </w:tc>
        <w:tc>
          <w:tcPr>
            <w:tcW w:w="5234"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819" w:type="dxa"/>
            <w:vAlign w:val="center"/>
          </w:tcPr>
          <w:p>
            <w:pPr>
              <w:spacing w:before="150" w:after="0"/>
              <w:ind w:left="0"/>
              <w:jc w:val="left"/>
            </w:pPr>
            <w:r>
              <w:rPr>
                <w:rFonts w:ascii="Arial"/>
                <w:b w:val="false"/>
                <w:i w:val="false"/>
                <w:color w:val="000000"/>
              </w:rPr>
              <w:t> </w:t>
            </w:r>
          </w:p>
        </w:tc>
        <w:tc>
          <w:tcPr>
            <w:tcW w:w="1780" w:type="dxa"/>
            <w:vAlign w:val="center"/>
          </w:tcPr>
          <w:p>
            <w:pPr>
              <w:spacing w:before="150" w:after="0"/>
              <w:ind w:left="0"/>
              <w:jc w:val="left"/>
            </w:pPr>
            <w:r>
              <w:rPr>
                <w:rFonts w:ascii="Arial"/>
                <w:b w:val="false"/>
                <w:i w:val="false"/>
                <w:color w:val="000000"/>
              </w:rPr>
              <w:t> </w:t>
            </w:r>
          </w:p>
        </w:tc>
        <w:tc>
          <w:tcPr>
            <w:tcW w:w="3498" w:type="dxa"/>
            <w:vAlign w:val="center"/>
          </w:tcPr>
          <w:p>
            <w:pPr>
              <w:spacing w:before="150" w:after="0"/>
              <w:ind w:left="0"/>
              <w:jc w:val="left"/>
            </w:pPr>
            <w:r>
              <w:rPr>
                <w:rFonts w:ascii="Arial"/>
                <w:b w:val="false"/>
                <w:i w:val="false"/>
                <w:color w:val="000000"/>
              </w:rPr>
              <w:t> </w:t>
            </w:r>
          </w:p>
        </w:tc>
      </w:tr>
      <w:tr>
        <w:trPr/>
        <w:tc>
          <w:tcPr>
            <w:tcW w:w="889" w:type="dxa"/>
            <w:vAlign w:val="center"/>
          </w:tcPr>
          <w:p>
            <w:pPr>
              <w:pStyle w:val="CaselawNormal"/>
              <w:spacing w:before="150" w:after="150"/>
              <w:ind w:left="600"/>
              <w:jc w:val="left"/>
            </w:pPr>
            <w:r>
              <w:rPr>
                <w:rFonts w:ascii="Arial"/>
                <w:color w:val="000000"/>
                <w:sz w:val="24"/>
              </w:rPr>
              <w:t>11.03</w:t>
            </w:r>
          </w:p>
        </w:tc>
        <w:tc>
          <w:tcPr>
            <w:tcW w:w="5234" w:type="dxa"/>
            <w:vAlign w:val="center"/>
          </w:tcPr>
          <w:p>
            <w:pPr>
              <w:pStyle w:val="CaselawNormal"/>
              <w:spacing w:before="150" w:after="150"/>
              <w:ind w:left="600"/>
              <w:jc w:val="left"/>
            </w:pPr>
            <w:r>
              <w:rPr>
                <w:rFonts w:ascii="Arial"/>
                <w:color w:val="000000"/>
                <w:sz w:val="24"/>
              </w:rPr>
              <w:t>Site cut / Bench to achieve RLs</w:t>
            </w:r>
          </w:p>
        </w:tc>
        <w:tc>
          <w:tcPr>
            <w:tcW w:w="1780" w:type="dxa"/>
            <w:vAlign w:val="center"/>
          </w:tcPr>
          <w:p>
            <w:pPr>
              <w:pStyle w:val="CaselawNormal"/>
              <w:spacing w:before="150" w:after="150"/>
              <w:ind w:left="600"/>
              <w:jc w:val="left"/>
            </w:pPr>
            <w:r>
              <w:rPr>
                <w:rFonts w:ascii="Arial"/>
                <w:color w:val="000000"/>
                <w:sz w:val="24"/>
              </w:rPr>
              <w:t>$863,900.00</w:t>
            </w:r>
          </w:p>
        </w:tc>
        <w:tc>
          <w:tcPr>
            <w:tcW w:w="819" w:type="dxa"/>
            <w:vAlign w:val="center"/>
          </w:tcPr>
          <w:p>
            <w:pPr>
              <w:pStyle w:val="CaselawNormal"/>
              <w:spacing w:before="150" w:after="150"/>
              <w:ind w:left="600"/>
              <w:jc w:val="left"/>
            </w:pPr>
            <w:r>
              <w:rPr>
                <w:rFonts w:ascii="Arial"/>
                <w:color w:val="000000"/>
                <w:sz w:val="24"/>
              </w:rPr>
              <w:t xml:space="preserve">100% </w:t>
            </w:r>
          </w:p>
        </w:tc>
        <w:tc>
          <w:tcPr>
            <w:tcW w:w="1780" w:type="dxa"/>
            <w:vAlign w:val="center"/>
          </w:tcPr>
          <w:p>
            <w:pPr>
              <w:pStyle w:val="CaselawNormal"/>
              <w:spacing w:before="150" w:after="150"/>
              <w:ind w:left="600"/>
              <w:jc w:val="left"/>
            </w:pPr>
            <w:r>
              <w:rPr>
                <w:rFonts w:ascii="Arial"/>
                <w:color w:val="000000"/>
                <w:sz w:val="24"/>
              </w:rPr>
              <w:t>$863,900.00</w:t>
            </w:r>
          </w:p>
        </w:tc>
        <w:tc>
          <w:tcPr>
            <w:tcW w:w="3498" w:type="dxa"/>
            <w:vAlign w:val="center"/>
          </w:tcPr>
          <w:p>
            <w:pPr>
              <w:pStyle w:val="CaselawNormal"/>
              <w:spacing w:before="150" w:after="150"/>
              <w:ind w:left="600"/>
              <w:jc w:val="left"/>
            </w:pPr>
            <w:r>
              <w:rPr>
                <w:rFonts w:ascii="Arial"/>
                <w:color w:val="000000"/>
                <w:sz w:val="24"/>
              </w:rPr>
              <w:t>Complete</w:t>
            </w:r>
          </w:p>
        </w:tc>
      </w:tr>
      <w:tr>
        <w:trPr/>
        <w:tc>
          <w:tcPr>
            <w:tcW w:w="889" w:type="dxa"/>
            <w:vAlign w:val="center"/>
          </w:tcPr>
          <w:p>
            <w:pPr>
              <w:pStyle w:val="CaselawNormal"/>
              <w:spacing w:before="150" w:after="150"/>
              <w:ind w:left="600"/>
              <w:jc w:val="left"/>
            </w:pPr>
            <w:r>
              <w:rPr>
                <w:rFonts w:ascii="Arial"/>
                <w:color w:val="000000"/>
                <w:sz w:val="24"/>
              </w:rPr>
              <w:t>11.04</w:t>
            </w:r>
          </w:p>
        </w:tc>
        <w:tc>
          <w:tcPr>
            <w:tcW w:w="5234" w:type="dxa"/>
            <w:vAlign w:val="center"/>
          </w:tcPr>
          <w:p>
            <w:pPr>
              <w:pStyle w:val="CaselawNormal"/>
              <w:spacing w:before="150" w:after="150"/>
              <w:ind w:left="600"/>
              <w:jc w:val="left"/>
            </w:pPr>
            <w:r>
              <w:rPr>
                <w:rFonts w:ascii="Arial"/>
                <w:color w:val="000000"/>
                <w:sz w:val="24"/>
              </w:rPr>
              <w:t>Remove and dispose bulk uncontrolled fill from site</w:t>
            </w:r>
          </w:p>
        </w:tc>
        <w:tc>
          <w:tcPr>
            <w:tcW w:w="1780" w:type="dxa"/>
            <w:vAlign w:val="center"/>
          </w:tcPr>
          <w:p>
            <w:pPr>
              <w:pStyle w:val="CaselawNormal"/>
              <w:spacing w:before="150" w:after="150"/>
              <w:ind w:left="600"/>
              <w:jc w:val="left"/>
            </w:pPr>
            <w:r>
              <w:rPr>
                <w:rFonts w:ascii="Arial"/>
                <w:color w:val="000000"/>
                <w:sz w:val="24"/>
              </w:rPr>
              <w:t>$772,200.00</w:t>
            </w:r>
          </w:p>
        </w:tc>
        <w:tc>
          <w:tcPr>
            <w:tcW w:w="819" w:type="dxa"/>
            <w:vAlign w:val="center"/>
          </w:tcPr>
          <w:p>
            <w:pPr>
              <w:pStyle w:val="CaselawNormal"/>
              <w:spacing w:before="150" w:after="150"/>
              <w:ind w:left="600"/>
              <w:jc w:val="left"/>
            </w:pPr>
            <w:r>
              <w:rPr>
                <w:rFonts w:ascii="Arial"/>
                <w:color w:val="000000"/>
                <w:sz w:val="24"/>
              </w:rPr>
              <w:t xml:space="preserve">100% </w:t>
            </w:r>
          </w:p>
        </w:tc>
        <w:tc>
          <w:tcPr>
            <w:tcW w:w="1780" w:type="dxa"/>
            <w:vAlign w:val="center"/>
          </w:tcPr>
          <w:p>
            <w:pPr>
              <w:pStyle w:val="CaselawNormal"/>
              <w:spacing w:before="150" w:after="150"/>
              <w:ind w:left="600"/>
              <w:jc w:val="left"/>
            </w:pPr>
            <w:r>
              <w:rPr>
                <w:rFonts w:ascii="Arial"/>
                <w:color w:val="000000"/>
                <w:sz w:val="24"/>
              </w:rPr>
              <w:t>$772,200.00</w:t>
            </w:r>
          </w:p>
        </w:tc>
        <w:tc>
          <w:tcPr>
            <w:tcW w:w="3498" w:type="dxa"/>
            <w:vAlign w:val="center"/>
          </w:tcPr>
          <w:p>
            <w:pPr>
              <w:pStyle w:val="CaselawNormal"/>
              <w:spacing w:before="150" w:after="150"/>
              <w:ind w:left="600"/>
              <w:jc w:val="left"/>
            </w:pPr>
            <w:r>
              <w:rPr>
                <w:rFonts w:ascii="Arial"/>
                <w:color w:val="000000"/>
                <w:sz w:val="24"/>
              </w:rPr>
              <w:t>Complete</w:t>
            </w:r>
          </w:p>
        </w:tc>
      </w:tr>
    </w:tbl>
    <w:p>
      <w:pPr>
        <w:pStyle w:val="CaselawNumbered10"/>
        <w:numPr>
          <w:ilvl w:val="0"/>
          <w:numId w:val="33"/>
        </w:numPr>
        <w:spacing w:before="150" w:after="0"/>
        <w:ind w:left="600" w:hanging="600"/>
      </w:pPr>
      <w:r>
        <w:rPr>
          <w:rFonts w:ascii="Arial"/>
          <w:color w:val="000000"/>
          <w:sz w:val="24"/>
        </w:rPr>
        <w:t>At the end of the trade breakdown, the total of those items that are the subject of a claim is shown as $2,213,902.68. A builder</w:t>
      </w:r>
      <w:r>
        <w:rPr>
          <w:rFonts w:ascii="Arial"/>
          <w:color w:val="000000"/>
          <w:sz w:val="24"/>
        </w:rPr>
        <w:t>’</w:t>
      </w:r>
      <w:r>
        <w:rPr>
          <w:rFonts w:ascii="Arial"/>
          <w:color w:val="000000"/>
          <w:sz w:val="24"/>
        </w:rPr>
        <w:t xml:space="preserve">s margin of 10% is then shown, as a claim of $221,390.27. The total of those two claimed amounts is shown as $2,435,292.94. The addition of GST produces a total of $2,678,822.23, which corresponds to the amount shown in the tax invoice as being the amount claimed for </w:t>
      </w:r>
      <w:r>
        <w:rPr>
          <w:rFonts w:ascii="Arial"/>
          <w:color w:val="000000"/>
          <w:sz w:val="24"/>
        </w:rPr>
        <w:t>“</w:t>
      </w:r>
      <w:r>
        <w:rPr>
          <w:rFonts w:ascii="Arial"/>
          <w:color w:val="000000"/>
          <w:sz w:val="24"/>
        </w:rPr>
        <w:t>Payment Claim 4 for contract works (as per trade breakdown)</w:t>
      </w:r>
      <w:r>
        <w:rPr>
          <w:rFonts w:ascii="Arial"/>
          <w:color w:val="000000"/>
          <w:sz w:val="24"/>
        </w:rPr>
        <w:t>”</w:t>
      </w:r>
      <w:r>
        <w:rPr>
          <w:rFonts w:ascii="Arial"/>
          <w:color w:val="000000"/>
          <w:sz w:val="24"/>
        </w:rPr>
        <w:t xml:space="preserve">. </w:t>
      </w:r>
    </w:p>
    <w:p>
      <w:pPr>
        <w:pStyle w:val="CaselawHeading2"/>
        <w:keepNext/>
        <w:spacing w:before="150" w:after="150" w:line="264"/>
        <w:ind w:left="0"/>
        <w:jc w:val="left"/>
      </w:pPr>
      <w:r>
        <w:rPr>
          <w:rFonts w:ascii="Arial"/>
        </w:rPr>
        <w:t>Determination of the application for summary judgment by the primary judge</w:t>
      </w:r>
    </w:p>
    <w:p>
      <w:pPr>
        <w:pStyle w:val="CaselawNumbered10"/>
        <w:numPr>
          <w:ilvl w:val="0"/>
          <w:numId w:val="34"/>
        </w:numPr>
        <w:spacing w:before="150" w:after="0"/>
        <w:ind w:left="600" w:hanging="600"/>
      </w:pPr>
      <w:r>
        <w:rPr>
          <w:rFonts w:ascii="Arial"/>
          <w:color w:val="000000"/>
          <w:sz w:val="24"/>
        </w:rPr>
        <w:t xml:space="preserve">Before the primary judge Portelli advanced arguments along broadly similar lines to those advanced before this Court, to the effect that PC3 and PC4 were </w:t>
      </w:r>
      <w:r>
        <w:rPr>
          <w:rFonts w:ascii="Arial"/>
          <w:color w:val="000000"/>
          <w:sz w:val="24"/>
        </w:rPr>
        <w:t>“</w:t>
      </w:r>
      <w:r>
        <w:rPr>
          <w:rFonts w:ascii="Arial"/>
          <w:color w:val="000000"/>
          <w:sz w:val="24"/>
        </w:rPr>
        <w:t>served prematurely</w:t>
      </w:r>
      <w:r>
        <w:rPr>
          <w:rFonts w:ascii="Arial"/>
          <w:color w:val="000000"/>
          <w:sz w:val="24"/>
        </w:rPr>
        <w:t xml:space="preserve">” </w:t>
      </w:r>
      <w:r>
        <w:rPr>
          <w:rFonts w:ascii="Arial"/>
          <w:color w:val="000000"/>
          <w:sz w:val="24"/>
        </w:rPr>
        <w:t>contrary to s 13</w:t>
      </w:r>
      <w:r>
        <w:rPr>
          <w:rFonts w:ascii="Arial"/>
          <w:color w:val="000000"/>
          <w:sz w:val="24"/>
        </w:rPr>
        <w:t xml:space="preserve"> </w:t>
      </w:r>
      <w:r>
        <w:rPr>
          <w:rFonts w:ascii="Arial"/>
          <w:color w:val="000000"/>
          <w:sz w:val="24"/>
        </w:rPr>
        <w:t>of the SOP Act</w:t>
      </w:r>
      <w:r>
        <w:rPr>
          <w:rFonts w:ascii="Arial"/>
          <w:color w:val="000000"/>
          <w:sz w:val="24"/>
        </w:rPr>
        <w:t>,</w:t>
      </w:r>
      <w:r>
        <w:rPr>
          <w:rFonts w:ascii="Arial"/>
          <w:color w:val="000000"/>
          <w:sz w:val="24"/>
        </w:rPr>
        <w:t xml:space="preserve"> </w:t>
      </w:r>
      <w:r>
        <w:rPr>
          <w:rFonts w:ascii="Arial"/>
          <w:color w:val="000000"/>
          <w:sz w:val="24"/>
        </w:rPr>
        <w:t xml:space="preserve">and that Black Sheep had no entitlement to recover progress payments under the </w:t>
      </w:r>
      <w:r>
        <w:rPr>
          <w:rFonts w:ascii="Arial"/>
          <w:color w:val="000000"/>
          <w:sz w:val="24"/>
        </w:rPr>
        <w:t>SOP Act</w:t>
      </w:r>
      <w:r>
        <w:rPr>
          <w:rFonts w:ascii="Arial"/>
          <w:i/>
          <w:color w:val="000000"/>
          <w:sz w:val="24"/>
        </w:rPr>
        <w:t xml:space="preserve"> </w:t>
      </w:r>
      <w:r>
        <w:rPr>
          <w:rFonts w:ascii="Arial"/>
          <w:color w:val="000000"/>
          <w:sz w:val="24"/>
        </w:rPr>
        <w:t xml:space="preserve">because the Contract is for </w:t>
      </w:r>
      <w:r>
        <w:rPr>
          <w:rFonts w:ascii="Arial"/>
          <w:color w:val="000000"/>
          <w:sz w:val="24"/>
        </w:rPr>
        <w:t>“</w:t>
      </w:r>
      <w:r>
        <w:rPr>
          <w:rFonts w:ascii="Arial"/>
          <w:color w:val="000000"/>
          <w:sz w:val="24"/>
        </w:rPr>
        <w:t>residential</w:t>
      </w:r>
      <w:r>
        <w:rPr>
          <w:rFonts w:ascii="Arial"/>
          <w:color w:val="000000"/>
          <w:sz w:val="24"/>
        </w:rPr>
        <w:t xml:space="preserve">” </w:t>
      </w:r>
      <w:r>
        <w:rPr>
          <w:rFonts w:ascii="Arial"/>
          <w:color w:val="000000"/>
          <w:sz w:val="24"/>
        </w:rPr>
        <w:t xml:space="preserve">building work. </w:t>
      </w:r>
    </w:p>
    <w:p>
      <w:pPr>
        <w:pStyle w:val="CaselawNumbered10"/>
        <w:numPr>
          <w:ilvl w:val="0"/>
          <w:numId w:val="34"/>
        </w:numPr>
        <w:spacing w:before="150" w:after="0"/>
        <w:ind w:left="600" w:hanging="600"/>
      </w:pPr>
      <w:r>
        <w:rPr>
          <w:rFonts w:ascii="Arial"/>
          <w:color w:val="000000"/>
          <w:sz w:val="24"/>
        </w:rPr>
        <w:t>The primary judge was satisfied that the dispositive questions that arose were suitable for determination on a summary basis. Her Honour dealt with that issue at [7]</w:t>
      </w:r>
      <w:r>
        <w:rPr>
          <w:rFonts w:ascii="Arial"/>
          <w:color w:val="000000"/>
          <w:sz w:val="24"/>
        </w:rPr>
        <w:t xml:space="preserve"> </w:t>
      </w:r>
      <w:r>
        <w:rPr>
          <w:rFonts w:ascii="Arial"/>
          <w:color w:val="000000"/>
          <w:sz w:val="24"/>
        </w:rPr>
        <w:t>(reference omitted)</w:t>
      </w:r>
      <w:r>
        <w:rPr>
          <w:rFonts w:ascii="Arial"/>
          <w:color w:val="000000"/>
          <w:sz w:val="24"/>
        </w:rPr>
        <w:t>:</w:t>
      </w:r>
    </w:p>
    <w:p>
      <w:pPr>
        <w:pStyle w:val="CaselawQuote"/>
        <w:spacing w:before="150" w:after="150"/>
        <w:ind w:left="1350"/>
        <w:jc w:val="left"/>
      </w:pPr>
      <w:r>
        <w:rPr>
          <w:rFonts w:ascii="Arial"/>
          <w:color w:val="000000"/>
          <w:sz w:val="22"/>
        </w:rPr>
        <w:t xml:space="preserve">Portelli did vaguely suggest that further evidence would be necessary for the determination of these issues, without identifying what that evidence would be. I consider that the issues in dispute turn on a proper construction of legislation, the contract and the </w:t>
      </w:r>
      <w:r>
        <w:rPr>
          <w:rFonts w:ascii="Arial"/>
          <w:color w:val="000000"/>
          <w:sz w:val="22"/>
        </w:rPr>
        <w:t>particular alleged</w:t>
      </w:r>
      <w:r>
        <w:rPr>
          <w:rFonts w:ascii="Arial"/>
          <w:color w:val="000000"/>
          <w:sz w:val="22"/>
        </w:rPr>
        <w:t xml:space="preserve"> payment claim documents, and the arguments were fully ventilated. There is no serious conflict as to any matter of fact that would prevent summary judgment.</w:t>
      </w:r>
    </w:p>
    <w:p>
      <w:pPr>
        <w:pStyle w:val="CaselawNumbered10"/>
        <w:numPr>
          <w:ilvl w:val="0"/>
          <w:numId w:val="35"/>
        </w:numPr>
        <w:spacing w:before="150" w:after="0"/>
        <w:ind w:left="600" w:hanging="600"/>
      </w:pPr>
      <w:r>
        <w:rPr>
          <w:rFonts w:ascii="Arial"/>
          <w:color w:val="000000"/>
          <w:sz w:val="24"/>
        </w:rPr>
        <w:t xml:space="preserve">The primary judge held that there was no triable issue about the service of the payment claims. Her Honour was satisfied that, pursuant to s 13(1A) of the </w:t>
      </w:r>
      <w:r>
        <w:rPr>
          <w:rFonts w:ascii="Arial"/>
          <w:color w:val="000000"/>
          <w:sz w:val="24"/>
        </w:rPr>
        <w:t>SOP</w:t>
      </w:r>
      <w:r>
        <w:rPr>
          <w:rFonts w:ascii="Arial"/>
          <w:color w:val="000000"/>
          <w:sz w:val="24"/>
        </w:rPr>
        <w:t> </w:t>
      </w:r>
      <w:r>
        <w:rPr>
          <w:rFonts w:ascii="Arial"/>
          <w:color w:val="000000"/>
          <w:sz w:val="24"/>
        </w:rPr>
        <w:t>Act</w:t>
      </w:r>
      <w:r>
        <w:rPr>
          <w:rFonts w:ascii="Arial"/>
          <w:color w:val="000000"/>
          <w:sz w:val="24"/>
        </w:rPr>
        <w:t>, for work carried out in July 2025 Black Sheep was entitled to issue a payment claim from 31 July 2025. Black Sheep did so when it issued PC3 on 21 August 2025, which also complied with the Contract</w:t>
      </w:r>
      <w:r>
        <w:rPr>
          <w:rFonts w:ascii="Arial"/>
          <w:color w:val="000000"/>
          <w:sz w:val="24"/>
        </w:rPr>
        <w:t xml:space="preserve"> </w:t>
      </w:r>
      <w:r>
        <w:rPr>
          <w:rFonts w:ascii="Arial"/>
          <w:color w:val="000000"/>
          <w:sz w:val="24"/>
        </w:rPr>
        <w:t>(which stipulated that payment claims be served on the 21</w:t>
      </w:r>
      <w:r>
        <w:rPr>
          <w:rFonts w:ascii="Arial"/>
          <w:color w:val="000000"/>
          <w:sz w:val="24"/>
        </w:rPr>
        <w:t>st</w:t>
      </w:r>
      <w:r>
        <w:rPr>
          <w:rFonts w:ascii="Arial"/>
          <w:color w:val="000000"/>
          <w:sz w:val="24"/>
        </w:rPr>
        <w:t xml:space="preserve"> </w:t>
      </w:r>
      <w:r>
        <w:rPr>
          <w:rFonts w:ascii="Arial"/>
          <w:color w:val="000000"/>
          <w:sz w:val="24"/>
        </w:rPr>
        <w:t>day of the month)</w:t>
      </w:r>
      <w:r>
        <w:rPr>
          <w:rFonts w:ascii="Arial"/>
          <w:color w:val="000000"/>
          <w:sz w:val="24"/>
        </w:rPr>
        <w:t xml:space="preserve">. </w:t>
      </w:r>
      <w:r>
        <w:rPr>
          <w:rFonts w:ascii="Arial"/>
          <w:color w:val="000000"/>
          <w:sz w:val="24"/>
        </w:rPr>
        <w:t>In relation to PC4 the primary judge was satisfied that, although the claim was served on the 22</w:t>
      </w:r>
      <w:r>
        <w:rPr>
          <w:rFonts w:ascii="Arial"/>
          <w:color w:val="000000"/>
          <w:sz w:val="24"/>
        </w:rPr>
        <w:t>nd</w:t>
      </w:r>
      <w:r>
        <w:rPr>
          <w:rFonts w:ascii="Arial"/>
          <w:color w:val="000000"/>
          <w:sz w:val="24"/>
        </w:rPr>
        <w:t xml:space="preserve"> </w:t>
      </w:r>
      <w:r>
        <w:rPr>
          <w:rFonts w:ascii="Arial"/>
          <w:color w:val="000000"/>
          <w:sz w:val="24"/>
        </w:rPr>
        <w:t xml:space="preserve">day of the month, service complied with the </w:t>
      </w:r>
      <w:r>
        <w:rPr>
          <w:rFonts w:ascii="Arial"/>
          <w:color w:val="000000"/>
          <w:sz w:val="24"/>
        </w:rPr>
        <w:t>SOP Act</w:t>
      </w:r>
      <w:r>
        <w:rPr>
          <w:rFonts w:ascii="Arial"/>
          <w:color w:val="000000"/>
          <w:sz w:val="24"/>
        </w:rPr>
        <w:t>, on the basis that for work carried out in August 2025 Black Sheep was entitled to issue a payment claim from 31 August 2025, which it did by serving a payment claim on 22 September 2025</w:t>
      </w:r>
      <w:r>
        <w:rPr>
          <w:rFonts w:ascii="Arial"/>
          <w:color w:val="000000"/>
          <w:sz w:val="24"/>
        </w:rPr>
        <w:t>.</w:t>
      </w:r>
    </w:p>
    <w:p>
      <w:pPr>
        <w:pStyle w:val="CaselawNumbered10"/>
        <w:numPr>
          <w:ilvl w:val="0"/>
          <w:numId w:val="35"/>
        </w:numPr>
        <w:spacing w:before="150" w:after="0"/>
        <w:ind w:left="600" w:hanging="600"/>
      </w:pPr>
      <w:r>
        <w:rPr>
          <w:rFonts w:ascii="Arial"/>
          <w:color w:val="000000"/>
          <w:sz w:val="24"/>
        </w:rPr>
        <w:t>In relation to PC3, this reasoning did not address the inclusion in the payment claim of work carried out in August 2025. Likewise in relation to PC4</w:t>
      </w:r>
      <w:r>
        <w:rPr>
          <w:rFonts w:ascii="Arial"/>
          <w:color w:val="000000"/>
          <w:sz w:val="24"/>
        </w:rPr>
        <w:t>,</w:t>
      </w:r>
      <w:r>
        <w:rPr>
          <w:rFonts w:ascii="Arial"/>
          <w:color w:val="000000"/>
          <w:sz w:val="24"/>
        </w:rPr>
        <w:t xml:space="preserve"> </w:t>
      </w:r>
      <w:r>
        <w:rPr>
          <w:rFonts w:ascii="Arial"/>
          <w:color w:val="000000"/>
          <w:sz w:val="24"/>
        </w:rPr>
        <w:t>the primary judge did not directly address the inclusion in the payment claim of work carried out in September 2025.</w:t>
      </w:r>
      <w:r>
        <w:rPr>
          <w:rFonts w:ascii="Arial"/>
          <w:color w:val="000000"/>
          <w:sz w:val="24"/>
        </w:rPr>
        <w:t xml:space="preserve"> </w:t>
      </w:r>
      <w:r>
        <w:rPr>
          <w:rFonts w:ascii="Arial"/>
          <w:color w:val="000000"/>
          <w:sz w:val="24"/>
        </w:rPr>
        <w:t>However, her Honour went on to find that the Contract provided for payment claims to be made to Portelli</w:t>
      </w:r>
      <w:r>
        <w:rPr>
          <w:rFonts w:ascii="Arial"/>
          <w:color w:val="000000"/>
          <w:sz w:val="24"/>
        </w:rPr>
        <w:t>’</w:t>
      </w:r>
      <w:r>
        <w:rPr>
          <w:rFonts w:ascii="Arial"/>
          <w:color w:val="000000"/>
          <w:sz w:val="24"/>
        </w:rPr>
        <w:t>s Quantity Surveyor on the 21</w:t>
      </w:r>
      <w:r>
        <w:rPr>
          <w:rFonts w:ascii="Arial"/>
          <w:color w:val="000000"/>
          <w:sz w:val="24"/>
        </w:rPr>
        <w:t>st</w:t>
      </w:r>
      <w:r>
        <w:rPr>
          <w:rFonts w:ascii="Arial"/>
          <w:color w:val="000000"/>
          <w:sz w:val="24"/>
        </w:rPr>
        <w:t xml:space="preserve"> </w:t>
      </w:r>
      <w:r>
        <w:rPr>
          <w:rFonts w:ascii="Arial"/>
          <w:color w:val="000000"/>
          <w:sz w:val="24"/>
        </w:rPr>
        <w:t>day of each month. Applying s 13(1B), it followed that Black Sheep was entitled to serve a payment claim on or after the 21</w:t>
      </w:r>
      <w:r>
        <w:rPr>
          <w:rFonts w:ascii="Arial"/>
          <w:color w:val="000000"/>
          <w:sz w:val="24"/>
        </w:rPr>
        <w:t>st</w:t>
      </w:r>
      <w:r>
        <w:rPr>
          <w:rFonts w:ascii="Arial"/>
          <w:color w:val="000000"/>
          <w:sz w:val="24"/>
        </w:rPr>
        <w:t xml:space="preserve"> </w:t>
      </w:r>
      <w:r>
        <w:rPr>
          <w:rFonts w:ascii="Arial"/>
          <w:color w:val="000000"/>
          <w:sz w:val="24"/>
        </w:rPr>
        <w:t>day of the month, rather than on or after the last day of the month. As explained below, that is the answer to any complaint about PC3 incorporat</w:t>
      </w:r>
      <w:r>
        <w:rPr>
          <w:rFonts w:ascii="Arial"/>
          <w:color w:val="000000"/>
          <w:sz w:val="24"/>
        </w:rPr>
        <w:t>ing</w:t>
      </w:r>
      <w:r>
        <w:rPr>
          <w:rFonts w:ascii="Arial"/>
          <w:color w:val="000000"/>
          <w:sz w:val="24"/>
        </w:rPr>
        <w:t xml:space="preserve"> </w:t>
      </w:r>
      <w:r>
        <w:rPr>
          <w:rFonts w:ascii="Arial"/>
          <w:color w:val="000000"/>
          <w:sz w:val="24"/>
        </w:rPr>
        <w:t xml:space="preserve">work carried out in August 2025 up to the date of the claim, and PC4 incorporating work carried out in September 2025 up to the date of the claim. </w:t>
      </w:r>
    </w:p>
    <w:p>
      <w:pPr>
        <w:pStyle w:val="CaselawNumbered10"/>
        <w:numPr>
          <w:ilvl w:val="0"/>
          <w:numId w:val="35"/>
        </w:numPr>
        <w:spacing w:before="150" w:after="0"/>
        <w:ind w:left="600" w:hanging="600"/>
      </w:pPr>
      <w:r>
        <w:rPr>
          <w:rFonts w:ascii="Arial"/>
          <w:color w:val="000000"/>
          <w:sz w:val="24"/>
        </w:rPr>
        <w:t xml:space="preserve">As for the character of the accommodation being built under the Contract, the primary judge held that there was no triable issue that the accommodation was for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w:t>
      </w:r>
      <w:r>
        <w:rPr>
          <w:rFonts w:ascii="Arial"/>
          <w:color w:val="000000"/>
          <w:sz w:val="24"/>
        </w:rPr>
        <w:t>Her Honour observed that</w:t>
      </w:r>
      <w:r>
        <w:rPr>
          <w:rFonts w:ascii="Arial"/>
          <w:color w:val="000000"/>
          <w:sz w:val="24"/>
        </w:rPr>
        <w:t xml:space="preserve"> </w:t>
      </w:r>
      <w:r>
        <w:rPr>
          <w:rFonts w:ascii="Arial"/>
          <w:color w:val="000000"/>
          <w:sz w:val="24"/>
        </w:rPr>
        <w:t xml:space="preserve">any resident of the building would only have a self-contained bedroom, with ensuite bathroom. </w:t>
      </w:r>
      <w:r>
        <w:rPr>
          <w:rFonts w:ascii="Arial"/>
          <w:color w:val="000000"/>
          <w:sz w:val="24"/>
        </w:rPr>
        <w:t>All of</w:t>
      </w:r>
      <w:r>
        <w:rPr>
          <w:rFonts w:ascii="Arial"/>
          <w:color w:val="000000"/>
          <w:sz w:val="24"/>
        </w:rPr>
        <w:t xml:space="preserve"> </w:t>
      </w:r>
      <w:r>
        <w:rPr>
          <w:rFonts w:ascii="Arial"/>
          <w:color w:val="000000"/>
          <w:sz w:val="24"/>
        </w:rPr>
        <w:t>the other residential facilities (kitchen, living room, laundry and outside area) were part of the shared facilities.</w:t>
      </w:r>
      <w:r>
        <w:rPr>
          <w:rFonts w:ascii="Arial"/>
          <w:color w:val="000000"/>
          <w:sz w:val="24"/>
        </w:rPr>
        <w:t xml:space="preserve"> </w:t>
      </w:r>
      <w:r>
        <w:rPr>
          <w:rFonts w:ascii="Arial"/>
          <w:color w:val="000000"/>
          <w:sz w:val="24"/>
        </w:rPr>
        <w:t xml:space="preserve">The individual bedrooms could not be characterised in those circumstances as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w:t>
      </w:r>
    </w:p>
    <w:p>
      <w:pPr>
        <w:pStyle w:val="CaselawNumbered10"/>
        <w:numPr>
          <w:ilvl w:val="0"/>
          <w:numId w:val="35"/>
        </w:numPr>
        <w:spacing w:before="150" w:after="0"/>
        <w:ind w:left="600" w:hanging="600"/>
      </w:pPr>
      <w:r>
        <w:rPr>
          <w:rFonts w:ascii="Arial"/>
          <w:color w:val="000000"/>
          <w:sz w:val="24"/>
        </w:rPr>
        <w:t>Portelli also advanced arguments</w:t>
      </w:r>
      <w:r>
        <w:rPr>
          <w:rFonts w:ascii="Arial"/>
          <w:color w:val="000000"/>
          <w:sz w:val="24"/>
        </w:rPr>
        <w:t xml:space="preserve"> </w:t>
      </w:r>
      <w:r>
        <w:rPr>
          <w:rFonts w:ascii="Arial"/>
          <w:color w:val="000000"/>
          <w:sz w:val="24"/>
        </w:rPr>
        <w:t>below</w:t>
      </w:r>
      <w:r>
        <w:rPr>
          <w:rFonts w:ascii="Arial"/>
          <w:color w:val="000000"/>
          <w:sz w:val="24"/>
        </w:rPr>
        <w:t xml:space="preserve"> </w:t>
      </w:r>
      <w:r>
        <w:rPr>
          <w:rFonts w:ascii="Arial"/>
          <w:color w:val="000000"/>
          <w:sz w:val="24"/>
        </w:rPr>
        <w:t xml:space="preserve">which it no longer relies on. Portelli argued that neither </w:t>
      </w:r>
      <w:r>
        <w:rPr>
          <w:rFonts w:ascii="Arial"/>
          <w:color w:val="000000"/>
          <w:sz w:val="24"/>
        </w:rPr>
        <w:t>PC3 nor PC4</w:t>
      </w:r>
      <w:r>
        <w:rPr>
          <w:rFonts w:ascii="Arial"/>
          <w:color w:val="000000"/>
          <w:sz w:val="24"/>
        </w:rPr>
        <w:t xml:space="preserve"> </w:t>
      </w:r>
      <w:r>
        <w:rPr>
          <w:rFonts w:ascii="Arial"/>
          <w:color w:val="000000"/>
          <w:sz w:val="24"/>
        </w:rPr>
        <w:t xml:space="preserve">adequately identified the construction work to which it related. The primary judge held that there was no triable issue in </w:t>
      </w:r>
      <w:r>
        <w:rPr>
          <w:rFonts w:ascii="Arial"/>
          <w:color w:val="000000"/>
          <w:sz w:val="24"/>
        </w:rPr>
        <w:t>that regard</w:t>
      </w:r>
      <w:r>
        <w:rPr>
          <w:rFonts w:ascii="Arial"/>
          <w:color w:val="000000"/>
          <w:sz w:val="24"/>
        </w:rPr>
        <w:t xml:space="preserve">. </w:t>
      </w:r>
      <w:r>
        <w:rPr>
          <w:rFonts w:ascii="Arial"/>
          <w:color w:val="000000"/>
          <w:sz w:val="24"/>
        </w:rPr>
        <w:t>H</w:t>
      </w:r>
      <w:r>
        <w:rPr>
          <w:rFonts w:ascii="Arial"/>
          <w:color w:val="000000"/>
          <w:sz w:val="24"/>
        </w:rPr>
        <w:t xml:space="preserve">er Honour referred to the principle that what is required under the </w:t>
      </w:r>
      <w:r>
        <w:rPr>
          <w:rFonts w:ascii="Arial"/>
          <w:color w:val="000000"/>
          <w:sz w:val="24"/>
        </w:rPr>
        <w:t>SOP</w:t>
      </w:r>
      <w:r>
        <w:rPr>
          <w:rFonts w:ascii="Arial"/>
          <w:color w:val="000000"/>
          <w:sz w:val="24"/>
        </w:rPr>
        <w:t> </w:t>
      </w:r>
      <w:r>
        <w:rPr>
          <w:rFonts w:ascii="Arial"/>
          <w:color w:val="000000"/>
          <w:sz w:val="24"/>
        </w:rPr>
        <w:t>Act</w:t>
      </w:r>
      <w:r>
        <w:rPr>
          <w:rFonts w:ascii="Arial"/>
          <w:i/>
          <w:color w:val="000000"/>
          <w:sz w:val="24"/>
        </w:rPr>
        <w:t xml:space="preserve"> </w:t>
      </w:r>
      <w:r>
        <w:rPr>
          <w:rFonts w:ascii="Arial"/>
          <w:color w:val="000000"/>
          <w:sz w:val="24"/>
        </w:rPr>
        <w:t xml:space="preserve">is that a payment claim identifies the work </w:t>
      </w:r>
      <w:r>
        <w:rPr>
          <w:rFonts w:ascii="Arial"/>
          <w:color w:val="000000"/>
          <w:sz w:val="24"/>
        </w:rPr>
        <w:t>“</w:t>
      </w:r>
      <w:r>
        <w:rPr>
          <w:rFonts w:ascii="Arial"/>
          <w:color w:val="000000"/>
          <w:sz w:val="24"/>
        </w:rPr>
        <w:t>in a way comprehensible to the respondent to the claim</w:t>
      </w:r>
      <w:r>
        <w:rPr>
          <w:rFonts w:ascii="Arial"/>
          <w:color w:val="000000"/>
          <w:sz w:val="24"/>
        </w:rPr>
        <w:t>”</w:t>
      </w:r>
      <w:r>
        <w:rPr>
          <w:rFonts w:ascii="Arial"/>
          <w:color w:val="000000"/>
          <w:sz w:val="24"/>
        </w:rPr>
        <w:t xml:space="preserve">: </w:t>
      </w:r>
      <w:r>
        <w:rPr>
          <w:rFonts w:ascii="Arial"/>
          <w:i/>
          <w:color w:val="000000"/>
          <w:sz w:val="24"/>
        </w:rPr>
        <w:t>Nepean Engineering Pty Ltd v Total Process Services Pty Ltd</w:t>
      </w:r>
      <w:r>
        <w:rPr>
          <w:rFonts w:ascii="Arial"/>
          <w:i/>
          <w:color w:val="000000"/>
          <w:sz w:val="24"/>
        </w:rPr>
        <w:t xml:space="preserve"> (in </w:t>
      </w:r>
      <w:r>
        <w:rPr>
          <w:rFonts w:ascii="Arial"/>
          <w:i/>
          <w:color w:val="000000"/>
          <w:sz w:val="24"/>
        </w:rPr>
        <w:t>liq</w:t>
      </w:r>
      <w:r>
        <w:rPr>
          <w:rFonts w:ascii="Arial"/>
          <w:i/>
          <w:color w:val="000000"/>
          <w:sz w:val="24"/>
        </w:rPr>
        <w:t>)</w:t>
      </w:r>
      <w:r>
        <w:rPr>
          <w:rFonts w:ascii="Arial"/>
          <w:i/>
          <w:color w:val="000000"/>
          <w:sz w:val="24"/>
        </w:rPr>
        <w:t xml:space="preserve"> </w:t>
      </w:r>
      <w:r>
        <w:rPr>
          <w:rFonts w:ascii="Arial"/>
          <w:color w:val="000000"/>
          <w:sz w:val="24"/>
        </w:rPr>
        <w:t>(2005) 64 NSWLR 462</w:t>
      </w:r>
      <w:r>
        <w:rPr>
          <w:rFonts w:ascii="Arial"/>
          <w:color w:val="000000"/>
          <w:sz w:val="24"/>
        </w:rPr>
        <w:t>; [2005] NSWCA 409</w:t>
      </w:r>
      <w:r>
        <w:rPr>
          <w:rFonts w:ascii="Arial"/>
          <w:color w:val="000000"/>
          <w:sz w:val="24"/>
        </w:rPr>
        <w:t xml:space="preserve"> </w:t>
      </w:r>
      <w:r>
        <w:rPr>
          <w:rFonts w:ascii="Arial"/>
          <w:color w:val="000000"/>
          <w:sz w:val="24"/>
        </w:rPr>
        <w:t>at [35].</w:t>
      </w:r>
      <w:r>
        <w:rPr>
          <w:rFonts w:ascii="Arial"/>
          <w:color w:val="000000"/>
          <w:sz w:val="24"/>
        </w:rPr>
        <w:t xml:space="preserve"> </w:t>
      </w:r>
    </w:p>
    <w:p>
      <w:pPr>
        <w:pStyle w:val="CaselawNumbered10"/>
        <w:numPr>
          <w:ilvl w:val="0"/>
          <w:numId w:val="35"/>
        </w:numPr>
        <w:spacing w:before="150" w:after="0"/>
        <w:ind w:left="600" w:hanging="600"/>
      </w:pPr>
      <w:r>
        <w:rPr>
          <w:rFonts w:ascii="Arial"/>
          <w:color w:val="000000"/>
          <w:sz w:val="24"/>
        </w:rPr>
        <w:t xml:space="preserve">The primary judge was satisfied that the trade breakdown documents </w:t>
      </w:r>
      <w:r>
        <w:rPr>
          <w:rFonts w:ascii="Arial"/>
          <w:color w:val="000000"/>
          <w:sz w:val="24"/>
        </w:rPr>
        <w:t xml:space="preserve">in both PC3 and PC4 </w:t>
      </w:r>
      <w:r>
        <w:rPr>
          <w:rFonts w:ascii="Arial"/>
          <w:color w:val="000000"/>
          <w:sz w:val="24"/>
        </w:rPr>
        <w:t xml:space="preserve">sufficiently identified the work alleged to have been completed. Among other things, the primary judge found that the trade breakdown was referrable to the bill of quantities in the Contract and would have been understood as such by a reasonable person in the position of Portelli. The relevant document or documents constituting a payment claim must be considered as a whole and in context, including the terms of </w:t>
      </w:r>
      <w:r>
        <w:rPr>
          <w:rFonts w:ascii="Arial"/>
          <w:color w:val="000000"/>
          <w:sz w:val="24"/>
        </w:rPr>
        <w:t>any covering letter or email and the factual matrix at least to the extent it was known to both parties or ought to have been known</w:t>
      </w:r>
      <w:r>
        <w:rPr>
          <w:rFonts w:ascii="Arial"/>
          <w:color w:val="000000"/>
          <w:sz w:val="24"/>
        </w:rPr>
        <w:t xml:space="preserve">: </w:t>
      </w:r>
      <w:r>
        <w:rPr>
          <w:rFonts w:ascii="Arial"/>
          <w:i/>
          <w:color w:val="000000"/>
          <w:sz w:val="24"/>
        </w:rPr>
        <w:t xml:space="preserve">Fernandes Constructions Pty Ltd v Tahmoor Coal Pty Ltd t/as Centennial Coal </w:t>
      </w:r>
      <w:r>
        <w:rPr>
          <w:rFonts w:ascii="Arial"/>
          <w:color w:val="000000"/>
          <w:sz w:val="24"/>
        </w:rPr>
        <w:t xml:space="preserve">[2007] NSWSC 381 at [27]. Construction work for which a claim is made may be identified by reference to other documents, including those that have previously passed between the parties: </w:t>
      </w:r>
      <w:r>
        <w:rPr>
          <w:rFonts w:ascii="Arial"/>
          <w:i/>
          <w:color w:val="000000"/>
          <w:sz w:val="24"/>
        </w:rPr>
        <w:t xml:space="preserve">Clarence Street Pty Ltd v Isis Projects Pty Ltd </w:t>
      </w:r>
      <w:r>
        <w:rPr>
          <w:rFonts w:ascii="Arial"/>
          <w:color w:val="000000"/>
          <w:sz w:val="24"/>
        </w:rPr>
        <w:t xml:space="preserve">(2005) 64 NSWLR 448; [2005] NSWCA 391 </w:t>
      </w:r>
      <w:r>
        <w:rPr>
          <w:rFonts w:ascii="Arial"/>
          <w:color w:val="000000"/>
          <w:sz w:val="24"/>
        </w:rPr>
        <w:t>at [</w:t>
      </w:r>
      <w:r>
        <w:rPr>
          <w:rFonts w:ascii="Arial"/>
          <w:color w:val="000000"/>
          <w:sz w:val="24"/>
        </w:rPr>
        <w:t>40</w:t>
      </w:r>
      <w:r>
        <w:rPr>
          <w:rFonts w:ascii="Arial"/>
          <w:color w:val="000000"/>
          <w:sz w:val="24"/>
        </w:rPr>
        <w:t>].</w:t>
      </w:r>
      <w:r>
        <w:rPr>
          <w:rFonts w:ascii="Arial"/>
          <w:color w:val="000000"/>
          <w:sz w:val="24"/>
        </w:rPr>
        <w:t xml:space="preserve"> </w:t>
      </w:r>
      <w:r>
        <w:rPr>
          <w:rFonts w:ascii="Arial"/>
          <w:color w:val="000000"/>
          <w:sz w:val="24"/>
        </w:rPr>
        <w:t xml:space="preserve">Applying these principles, the primary judge was satisfied that when objectively construed each payment claim was a valid payment claim in respect of identified work. </w:t>
      </w:r>
    </w:p>
    <w:p>
      <w:pPr>
        <w:pStyle w:val="CaselawNumbered10"/>
        <w:numPr>
          <w:ilvl w:val="0"/>
          <w:numId w:val="35"/>
        </w:numPr>
        <w:spacing w:before="150" w:after="0"/>
        <w:ind w:left="600" w:hanging="600"/>
      </w:pPr>
      <w:r>
        <w:rPr>
          <w:rFonts w:ascii="Arial"/>
          <w:color w:val="000000"/>
          <w:sz w:val="24"/>
        </w:rPr>
        <w:t>In relation to the proposition that it was necessary for a claimant not only to identify the work to which a claim related but also to prove that such work was in fact carried out, the primary judge noted the following, at [31]:</w:t>
      </w:r>
    </w:p>
    <w:p>
      <w:pPr>
        <w:pStyle w:val="CaselawQuote"/>
        <w:spacing w:before="150" w:after="150"/>
        <w:ind w:left="1350"/>
        <w:jc w:val="left"/>
      </w:pPr>
      <w:r>
        <w:rPr>
          <w:rFonts w:ascii="Arial"/>
          <w:color w:val="000000"/>
          <w:sz w:val="22"/>
        </w:rPr>
        <w:t xml:space="preserve">Sensibly, Portelli did not make any oral submissions on the question of whether it was necessary for Black Sheep to finally prove that it had in fact carried out the construction work it alleged. </w:t>
      </w:r>
      <w:r>
        <w:rPr>
          <w:rFonts w:ascii="Arial"/>
          <w:color w:val="000000"/>
          <w:sz w:val="22"/>
        </w:rPr>
        <w:t>… [A]</w:t>
      </w:r>
      <w:r>
        <w:rPr>
          <w:rFonts w:ascii="Arial"/>
          <w:color w:val="000000"/>
          <w:sz w:val="22"/>
        </w:rPr>
        <w:t xml:space="preserve"> payment claim is merely a claim under SOPA; it does not finally determine the rights of the parties, which are left to final rights litigation.</w:t>
      </w:r>
    </w:p>
    <w:p>
      <w:pPr>
        <w:pStyle w:val="CaselawHeading2"/>
        <w:keepNext/>
        <w:spacing w:before="150" w:after="150" w:line="264"/>
        <w:ind w:left="0"/>
        <w:jc w:val="left"/>
      </w:pPr>
      <w:r>
        <w:rPr>
          <w:rFonts w:ascii="Arial"/>
        </w:rPr>
        <w:t xml:space="preserve">The requirements for service of a valid payment claim under s 13 of the </w:t>
      </w:r>
      <w:r>
        <w:rPr>
          <w:rFonts w:ascii="Arial"/>
        </w:rPr>
        <w:t>SOP Act</w:t>
      </w:r>
    </w:p>
    <w:p>
      <w:pPr>
        <w:pStyle w:val="CaselawNumbered10"/>
        <w:numPr>
          <w:ilvl w:val="0"/>
          <w:numId w:val="36"/>
        </w:numPr>
        <w:spacing w:before="150" w:after="0"/>
        <w:ind w:left="600" w:hanging="600"/>
      </w:pPr>
      <w:r>
        <w:rPr>
          <w:rFonts w:ascii="Arial"/>
          <w:color w:val="000000"/>
          <w:sz w:val="24"/>
        </w:rPr>
        <w:t>As summarised above, Portelli advances two di</w:t>
      </w:r>
      <w:r>
        <w:rPr>
          <w:rFonts w:ascii="Arial"/>
          <w:color w:val="000000"/>
          <w:sz w:val="24"/>
        </w:rPr>
        <w:t>stinct</w:t>
      </w:r>
      <w:r>
        <w:rPr>
          <w:rFonts w:ascii="Arial"/>
          <w:color w:val="000000"/>
          <w:sz w:val="24"/>
        </w:rPr>
        <w:t xml:space="preserve"> </w:t>
      </w:r>
      <w:r>
        <w:rPr>
          <w:rFonts w:ascii="Arial"/>
          <w:color w:val="000000"/>
          <w:sz w:val="24"/>
        </w:rPr>
        <w:t xml:space="preserve">arguments in support of the proposition that neither PC3 nor PC4 was a payment claim validly issued under the </w:t>
      </w:r>
      <w:r>
        <w:rPr>
          <w:rFonts w:ascii="Arial"/>
          <w:color w:val="000000"/>
          <w:sz w:val="24"/>
        </w:rPr>
        <w:t>SOP Act</w:t>
      </w:r>
      <w:r>
        <w:rPr>
          <w:rFonts w:ascii="Arial"/>
          <w:i/>
          <w:color w:val="000000"/>
          <w:sz w:val="24"/>
        </w:rPr>
        <w:t xml:space="preserve"> </w:t>
      </w:r>
      <w:r>
        <w:rPr>
          <w:rFonts w:ascii="Arial"/>
          <w:color w:val="000000"/>
          <w:sz w:val="24"/>
        </w:rPr>
        <w:t xml:space="preserve">(or, more </w:t>
      </w:r>
      <w:r>
        <w:rPr>
          <w:rFonts w:ascii="Arial"/>
          <w:color w:val="000000"/>
          <w:sz w:val="24"/>
        </w:rPr>
        <w:t>precisely</w:t>
      </w:r>
      <w:r>
        <w:rPr>
          <w:rFonts w:ascii="Arial"/>
          <w:color w:val="000000"/>
          <w:sz w:val="24"/>
        </w:rPr>
        <w:t xml:space="preserve">, that there is a triable issue in this respect). The first is an argument that a </w:t>
      </w:r>
      <w:r>
        <w:rPr>
          <w:rFonts w:ascii="Arial"/>
          <w:color w:val="000000"/>
          <w:sz w:val="24"/>
        </w:rPr>
        <w:t xml:space="preserve">purported </w:t>
      </w:r>
      <w:r>
        <w:rPr>
          <w:rFonts w:ascii="Arial"/>
          <w:color w:val="000000"/>
          <w:sz w:val="24"/>
        </w:rPr>
        <w:t xml:space="preserve">claim is only a valid </w:t>
      </w:r>
      <w:r>
        <w:rPr>
          <w:rFonts w:ascii="Arial"/>
          <w:color w:val="000000"/>
          <w:sz w:val="24"/>
        </w:rPr>
        <w:t>one</w:t>
      </w:r>
      <w:r>
        <w:rPr>
          <w:rFonts w:ascii="Arial"/>
          <w:color w:val="000000"/>
          <w:sz w:val="24"/>
        </w:rPr>
        <w:t xml:space="preserve">, </w:t>
      </w:r>
      <w:r>
        <w:rPr>
          <w:rFonts w:ascii="Arial"/>
          <w:color w:val="000000"/>
          <w:sz w:val="24"/>
        </w:rPr>
        <w:t xml:space="preserve">capable of </w:t>
      </w:r>
      <w:r>
        <w:rPr>
          <w:rFonts w:ascii="Arial"/>
          <w:color w:val="000000"/>
          <w:sz w:val="24"/>
        </w:rPr>
        <w:t xml:space="preserve">giving rise to a statutory obligation to pay, if the claimant </w:t>
      </w:r>
      <w:r>
        <w:rPr>
          <w:rFonts w:ascii="Arial"/>
          <w:color w:val="000000"/>
          <w:sz w:val="24"/>
        </w:rPr>
        <w:t>has demonstrated as a matter of objective fact that at least some of the work that is the subject of the claim was carried out as claimed.</w:t>
      </w:r>
      <w:r>
        <w:rPr>
          <w:rFonts w:ascii="Arial"/>
          <w:color w:val="000000"/>
          <w:sz w:val="24"/>
        </w:rPr>
        <w:t xml:space="preserve"> </w:t>
      </w:r>
      <w:r>
        <w:rPr>
          <w:rFonts w:ascii="Arial"/>
          <w:color w:val="000000"/>
          <w:sz w:val="24"/>
        </w:rPr>
        <w:t>The argument was ostensibly advanced on the basis that it concerned the validity of service of the purported payment claims. In substance, however, the argument impl</w:t>
      </w:r>
      <w:r>
        <w:rPr>
          <w:rFonts w:ascii="Arial"/>
          <w:color w:val="000000"/>
          <w:sz w:val="24"/>
        </w:rPr>
        <w:t>ies</w:t>
      </w:r>
      <w:r>
        <w:rPr>
          <w:rFonts w:ascii="Arial"/>
          <w:color w:val="000000"/>
          <w:sz w:val="24"/>
        </w:rPr>
        <w:t xml:space="preserve"> </w:t>
      </w:r>
      <w:r>
        <w:rPr>
          <w:rFonts w:ascii="Arial"/>
          <w:color w:val="000000"/>
          <w:sz w:val="24"/>
        </w:rPr>
        <w:t xml:space="preserve">that proving that at least some of the work has been performed is </w:t>
      </w:r>
      <w:r>
        <w:rPr>
          <w:rFonts w:ascii="Arial"/>
          <w:color w:val="000000"/>
          <w:sz w:val="24"/>
        </w:rPr>
        <w:t xml:space="preserve">a prerequisite to asserting liability pursuant to s 14 of the </w:t>
      </w:r>
      <w:r>
        <w:rPr>
          <w:rFonts w:ascii="Arial"/>
          <w:color w:val="000000"/>
          <w:sz w:val="24"/>
        </w:rPr>
        <w:t>SOP Act</w:t>
      </w:r>
      <w:r>
        <w:rPr>
          <w:rFonts w:ascii="Arial"/>
          <w:i/>
          <w:color w:val="000000"/>
          <w:sz w:val="24"/>
        </w:rPr>
        <w:t xml:space="preserve"> </w:t>
      </w:r>
      <w:r>
        <w:rPr>
          <w:rFonts w:ascii="Arial"/>
          <w:color w:val="000000"/>
          <w:sz w:val="24"/>
        </w:rPr>
        <w:t xml:space="preserve">or seeking to recover an unpaid amount as a debt due pursuant to s 15. </w:t>
      </w:r>
      <w:r>
        <w:rPr>
          <w:rFonts w:ascii="Arial"/>
          <w:color w:val="000000"/>
          <w:sz w:val="24"/>
        </w:rPr>
        <w:t xml:space="preserve">The second </w:t>
      </w:r>
      <w:r>
        <w:rPr>
          <w:rFonts w:ascii="Arial"/>
          <w:color w:val="000000"/>
          <w:sz w:val="24"/>
        </w:rPr>
        <w:t xml:space="preserve">argument </w:t>
      </w:r>
      <w:r>
        <w:rPr>
          <w:rFonts w:ascii="Arial"/>
          <w:color w:val="000000"/>
          <w:sz w:val="24"/>
        </w:rPr>
        <w:t xml:space="preserve">is that the claim was made prematurely, in the sense of being served before the time allowed under the </w:t>
      </w:r>
      <w:r>
        <w:rPr>
          <w:rFonts w:ascii="Arial"/>
          <w:color w:val="000000"/>
          <w:sz w:val="24"/>
        </w:rPr>
        <w:t>SOP Act</w:t>
      </w:r>
      <w:r>
        <w:rPr>
          <w:rFonts w:ascii="Arial"/>
          <w:i/>
          <w:color w:val="000000"/>
          <w:sz w:val="24"/>
        </w:rPr>
        <w:t xml:space="preserve"> </w:t>
      </w:r>
      <w:r>
        <w:rPr>
          <w:rFonts w:ascii="Arial"/>
          <w:color w:val="000000"/>
          <w:sz w:val="24"/>
        </w:rPr>
        <w:t>(read together with the Contract).</w:t>
      </w:r>
    </w:p>
    <w:p>
      <w:pPr>
        <w:pStyle w:val="CaselawHeading3"/>
        <w:keepNext/>
        <w:spacing w:before="150" w:after="150" w:line="264"/>
        <w:ind w:left="0"/>
        <w:jc w:val="left"/>
      </w:pPr>
      <w:r>
        <w:rPr>
          <w:rFonts w:ascii="Arial"/>
        </w:rPr>
        <w:t>Establishing that the claimed work was in fact carried out is not a condition of a valid payment claim or a precondition to enforcement of the liability arising from service of a payment claim</w:t>
      </w:r>
    </w:p>
    <w:p>
      <w:pPr>
        <w:pStyle w:val="CaselawNumbered10"/>
        <w:numPr>
          <w:ilvl w:val="0"/>
          <w:numId w:val="37"/>
        </w:numPr>
        <w:spacing w:before="150" w:after="0"/>
        <w:ind w:left="600" w:hanging="600"/>
      </w:pPr>
      <w:r>
        <w:rPr>
          <w:rFonts w:ascii="Arial"/>
          <w:color w:val="000000"/>
          <w:sz w:val="24"/>
        </w:rPr>
        <w:t>Portelli</w:t>
      </w:r>
      <w:r>
        <w:rPr>
          <w:rFonts w:ascii="Arial"/>
          <w:color w:val="000000"/>
          <w:sz w:val="24"/>
        </w:rPr>
        <w:t>’</w:t>
      </w:r>
      <w:r>
        <w:rPr>
          <w:rFonts w:ascii="Arial"/>
          <w:color w:val="000000"/>
          <w:sz w:val="24"/>
        </w:rPr>
        <w:t>s</w:t>
      </w:r>
      <w:r>
        <w:rPr>
          <w:rFonts w:ascii="Arial"/>
          <w:color w:val="000000"/>
          <w:sz w:val="24"/>
        </w:rPr>
        <w:t xml:space="preserve"> </w:t>
      </w:r>
      <w:r>
        <w:rPr>
          <w:rFonts w:ascii="Arial"/>
          <w:color w:val="000000"/>
          <w:sz w:val="24"/>
        </w:rPr>
        <w:t xml:space="preserve">first </w:t>
      </w:r>
      <w:r>
        <w:rPr>
          <w:rFonts w:ascii="Arial"/>
          <w:color w:val="000000"/>
          <w:sz w:val="24"/>
        </w:rPr>
        <w:t xml:space="preserve">argument is contrary to the plain words of the </w:t>
      </w:r>
      <w:r>
        <w:rPr>
          <w:rFonts w:ascii="Arial"/>
          <w:color w:val="000000"/>
          <w:sz w:val="24"/>
        </w:rPr>
        <w:t>SOP Act</w:t>
      </w:r>
      <w:r>
        <w:rPr>
          <w:rFonts w:ascii="Arial"/>
          <w:color w:val="000000"/>
          <w:sz w:val="24"/>
        </w:rPr>
        <w:t xml:space="preserve"> </w:t>
      </w:r>
      <w:r>
        <w:rPr>
          <w:rFonts w:ascii="Arial"/>
          <w:color w:val="000000"/>
          <w:sz w:val="24"/>
        </w:rPr>
        <w:t xml:space="preserve">and </w:t>
      </w:r>
      <w:r>
        <w:rPr>
          <w:rFonts w:ascii="Arial"/>
          <w:color w:val="000000"/>
          <w:sz w:val="24"/>
        </w:rPr>
        <w:t xml:space="preserve">well-established principles </w:t>
      </w:r>
      <w:r>
        <w:rPr>
          <w:rFonts w:ascii="Arial"/>
          <w:color w:val="000000"/>
          <w:sz w:val="24"/>
        </w:rPr>
        <w:t>about the nature of the scheme that the Act creates</w:t>
      </w:r>
      <w:r>
        <w:rPr>
          <w:rFonts w:ascii="Arial"/>
          <w:color w:val="000000"/>
          <w:sz w:val="24"/>
        </w:rPr>
        <w:t>.</w:t>
      </w:r>
      <w:r>
        <w:rPr>
          <w:rFonts w:ascii="Arial"/>
          <w:i/>
          <w:color w:val="000000"/>
          <w:sz w:val="24"/>
        </w:rPr>
        <w:t xml:space="preserve"> </w:t>
      </w:r>
      <w:r>
        <w:rPr>
          <w:rFonts w:ascii="Arial"/>
          <w:color w:val="000000"/>
          <w:sz w:val="24"/>
        </w:rPr>
        <w:t xml:space="preserve">Section 13(1) provides that a person referred to in s 8 </w:t>
      </w:r>
      <w:r>
        <w:rPr>
          <w:rFonts w:ascii="Arial"/>
          <w:color w:val="000000"/>
          <w:sz w:val="24"/>
        </w:rPr>
        <w:t>“</w:t>
      </w:r>
      <w:r>
        <w:rPr>
          <w:rFonts w:ascii="Arial"/>
          <w:color w:val="000000"/>
          <w:sz w:val="24"/>
        </w:rPr>
        <w:t xml:space="preserve">who is </w:t>
      </w:r>
      <w:r>
        <w:rPr>
          <w:rFonts w:ascii="Arial"/>
          <w:color w:val="000000"/>
          <w:sz w:val="24"/>
        </w:rPr>
        <w:t>or who claims to be</w:t>
      </w:r>
      <w:r>
        <w:rPr>
          <w:rFonts w:ascii="Arial"/>
          <w:color w:val="000000"/>
          <w:sz w:val="24"/>
        </w:rPr>
        <w:t xml:space="preserve"> </w:t>
      </w:r>
      <w:r>
        <w:rPr>
          <w:rFonts w:ascii="Arial"/>
          <w:color w:val="000000"/>
          <w:sz w:val="24"/>
        </w:rPr>
        <w:t>entitled to a progress payment</w:t>
      </w:r>
      <w:r>
        <w:rPr>
          <w:rFonts w:ascii="Arial"/>
          <w:color w:val="000000"/>
          <w:sz w:val="24"/>
        </w:rPr>
        <w:t xml:space="preserve">” </w:t>
      </w:r>
      <w:r>
        <w:rPr>
          <w:rFonts w:ascii="Arial"/>
          <w:color w:val="000000"/>
          <w:sz w:val="24"/>
        </w:rPr>
        <w:t xml:space="preserve">may serve a payment claim on the person who, under the relevant contract, </w:t>
      </w:r>
      <w:r>
        <w:rPr>
          <w:rFonts w:ascii="Arial"/>
          <w:color w:val="000000"/>
          <w:sz w:val="24"/>
        </w:rPr>
        <w:t>“</w:t>
      </w:r>
      <w:r>
        <w:rPr>
          <w:rFonts w:ascii="Arial"/>
          <w:color w:val="000000"/>
          <w:sz w:val="24"/>
        </w:rPr>
        <w:t xml:space="preserve">is </w:t>
      </w:r>
      <w:r>
        <w:rPr>
          <w:rFonts w:ascii="Arial"/>
          <w:color w:val="000000"/>
          <w:sz w:val="24"/>
        </w:rPr>
        <w:t>or may be</w:t>
      </w:r>
      <w:r>
        <w:rPr>
          <w:rFonts w:ascii="Arial"/>
          <w:color w:val="000000"/>
          <w:sz w:val="24"/>
        </w:rPr>
        <w:t xml:space="preserve"> </w:t>
      </w:r>
      <w:r>
        <w:rPr>
          <w:rFonts w:ascii="Arial"/>
          <w:color w:val="000000"/>
          <w:sz w:val="24"/>
        </w:rPr>
        <w:t>liable to make the payment</w:t>
      </w:r>
      <w:r>
        <w:rPr>
          <w:rFonts w:ascii="Arial"/>
          <w:color w:val="000000"/>
          <w:sz w:val="24"/>
        </w:rPr>
        <w:t>”</w:t>
      </w:r>
      <w:r>
        <w:rPr>
          <w:rFonts w:ascii="Arial"/>
          <w:color w:val="000000"/>
          <w:sz w:val="24"/>
        </w:rPr>
        <w:t xml:space="preserve"> </w:t>
      </w:r>
      <w:r>
        <w:rPr>
          <w:rFonts w:ascii="Arial"/>
          <w:color w:val="000000"/>
          <w:sz w:val="24"/>
        </w:rPr>
        <w:t>(emphasis added)</w:t>
      </w:r>
      <w:r>
        <w:rPr>
          <w:rFonts w:ascii="Arial"/>
          <w:color w:val="000000"/>
          <w:sz w:val="24"/>
        </w:rPr>
        <w:t xml:space="preserve">. Subsections (1A) and (1B) of s 13 then proceed to deal with when such a payment claim may be served. Subsection (2) requires that a payment claim must </w:t>
      </w:r>
      <w:r>
        <w:rPr>
          <w:rFonts w:ascii="Arial"/>
          <w:color w:val="000000"/>
          <w:sz w:val="24"/>
        </w:rPr>
        <w:t xml:space="preserve">identify the construction work to which the progress payment relates and the amount of the progress payment </w:t>
      </w:r>
      <w:r>
        <w:rPr>
          <w:rFonts w:ascii="Arial"/>
          <w:color w:val="000000"/>
          <w:sz w:val="24"/>
        </w:rPr>
        <w:t>“</w:t>
      </w:r>
      <w:r>
        <w:rPr>
          <w:rFonts w:ascii="Arial"/>
          <w:color w:val="000000"/>
          <w:sz w:val="24"/>
        </w:rPr>
        <w:t xml:space="preserve">that the claimant </w:t>
      </w:r>
      <w:r>
        <w:rPr>
          <w:rFonts w:ascii="Arial"/>
          <w:color w:val="000000"/>
          <w:sz w:val="24"/>
        </w:rPr>
        <w:t>claims to be due</w:t>
      </w:r>
      <w:r>
        <w:rPr>
          <w:rFonts w:ascii="Arial"/>
          <w:color w:val="000000"/>
          <w:sz w:val="24"/>
        </w:rPr>
        <w:t xml:space="preserve">” </w:t>
      </w:r>
      <w:r>
        <w:rPr>
          <w:rFonts w:ascii="Arial"/>
          <w:color w:val="000000"/>
          <w:sz w:val="24"/>
        </w:rPr>
        <w:t xml:space="preserve">(emphasis added). </w:t>
      </w:r>
    </w:p>
    <w:p>
      <w:pPr>
        <w:pStyle w:val="CaselawNumbered10"/>
        <w:numPr>
          <w:ilvl w:val="0"/>
          <w:numId w:val="37"/>
        </w:numPr>
        <w:spacing w:before="150" w:after="0"/>
        <w:ind w:left="600" w:hanging="600"/>
      </w:pPr>
      <w:r>
        <w:rPr>
          <w:rFonts w:ascii="Arial"/>
          <w:color w:val="000000"/>
          <w:sz w:val="24"/>
        </w:rPr>
        <w:t xml:space="preserve">If a claimant serves a payment claim on the respondent, and the respondent does not provide a payment schedule to the claimant within the applicable time limit, the statutory consequence is that the respondent </w:t>
      </w:r>
      <w:r>
        <w:rPr>
          <w:rFonts w:ascii="Arial"/>
          <w:color w:val="000000"/>
          <w:sz w:val="24"/>
        </w:rPr>
        <w:t>“</w:t>
      </w:r>
      <w:r>
        <w:rPr>
          <w:rFonts w:ascii="Arial"/>
          <w:color w:val="000000"/>
          <w:sz w:val="24"/>
        </w:rPr>
        <w:t xml:space="preserve">becomes liable to pay the </w:t>
      </w:r>
      <w:r>
        <w:rPr>
          <w:rFonts w:ascii="Arial"/>
          <w:color w:val="000000"/>
          <w:sz w:val="24"/>
        </w:rPr>
        <w:t>claimed amount</w:t>
      </w:r>
      <w:r>
        <w:rPr>
          <w:rFonts w:ascii="Arial"/>
          <w:color w:val="000000"/>
          <w:sz w:val="24"/>
        </w:rPr>
        <w:t xml:space="preserve"> </w:t>
      </w:r>
      <w:r>
        <w:rPr>
          <w:rFonts w:ascii="Arial"/>
          <w:color w:val="000000"/>
          <w:sz w:val="24"/>
        </w:rPr>
        <w:t>to the claimant</w:t>
      </w:r>
      <w:r>
        <w:rPr>
          <w:rFonts w:ascii="Arial"/>
          <w:color w:val="000000"/>
          <w:sz w:val="24"/>
        </w:rPr>
        <w:t>”</w:t>
      </w:r>
      <w:r>
        <w:rPr>
          <w:rFonts w:ascii="Arial"/>
          <w:color w:val="000000"/>
          <w:sz w:val="24"/>
        </w:rPr>
        <w:t xml:space="preserve"> </w:t>
      </w:r>
      <w:r>
        <w:rPr>
          <w:rFonts w:ascii="Arial"/>
          <w:color w:val="000000"/>
          <w:sz w:val="24"/>
        </w:rPr>
        <w:t>(emphasis added)</w:t>
      </w:r>
      <w:r>
        <w:rPr>
          <w:rFonts w:ascii="Arial"/>
          <w:color w:val="000000"/>
          <w:sz w:val="24"/>
        </w:rPr>
        <w:t xml:space="preserve">: s 14(4). Where such a liability has arisen and the amount is not paid by the due date the claimant may, relevantly, recover </w:t>
      </w:r>
      <w:r>
        <w:rPr>
          <w:rFonts w:ascii="Arial"/>
          <w:color w:val="000000"/>
          <w:sz w:val="24"/>
        </w:rPr>
        <w:t>“</w:t>
      </w:r>
      <w:r>
        <w:rPr>
          <w:rFonts w:ascii="Arial"/>
          <w:color w:val="000000"/>
          <w:sz w:val="24"/>
        </w:rPr>
        <w:t xml:space="preserve">the unpaid portion of the </w:t>
      </w:r>
      <w:r>
        <w:rPr>
          <w:rFonts w:ascii="Arial"/>
          <w:color w:val="000000"/>
          <w:sz w:val="24"/>
        </w:rPr>
        <w:t>claimed amount</w:t>
      </w:r>
      <w:r>
        <w:rPr>
          <w:rFonts w:ascii="Arial"/>
          <w:color w:val="000000"/>
          <w:sz w:val="24"/>
        </w:rPr>
        <w:t xml:space="preserve"> </w:t>
      </w:r>
      <w:r>
        <w:rPr>
          <w:rFonts w:ascii="Arial"/>
          <w:color w:val="000000"/>
          <w:sz w:val="24"/>
        </w:rPr>
        <w:t>from the respondent, as a debt due to the claimant, in any court of competent jurisdiction</w:t>
      </w:r>
      <w:r>
        <w:rPr>
          <w:rFonts w:ascii="Arial"/>
          <w:color w:val="000000"/>
          <w:sz w:val="24"/>
        </w:rPr>
        <w:t xml:space="preserve">” </w:t>
      </w:r>
      <w:r>
        <w:rPr>
          <w:rFonts w:ascii="Arial"/>
          <w:color w:val="000000"/>
          <w:sz w:val="24"/>
        </w:rPr>
        <w:t>(emphasis added): s 15(2).</w:t>
      </w:r>
      <w:r>
        <w:rPr>
          <w:rFonts w:ascii="Arial"/>
          <w:color w:val="000000"/>
          <w:sz w:val="24"/>
        </w:rPr>
        <w:t xml:space="preserve"> </w:t>
      </w:r>
    </w:p>
    <w:p>
      <w:pPr>
        <w:pStyle w:val="CaselawNumbered10"/>
        <w:numPr>
          <w:ilvl w:val="0"/>
          <w:numId w:val="37"/>
        </w:numPr>
        <w:spacing w:before="150" w:after="0"/>
        <w:ind w:left="600" w:hanging="600"/>
      </w:pPr>
      <w:r>
        <w:rPr>
          <w:rFonts w:ascii="Arial"/>
          <w:color w:val="000000"/>
          <w:sz w:val="24"/>
        </w:rPr>
        <w:t xml:space="preserve">Reading these sections together, there is no room to construe the </w:t>
      </w:r>
      <w:r>
        <w:rPr>
          <w:rFonts w:ascii="Arial"/>
          <w:color w:val="000000"/>
          <w:sz w:val="24"/>
        </w:rPr>
        <w:t>SOP Act</w:t>
      </w:r>
      <w:r>
        <w:rPr>
          <w:rFonts w:ascii="Arial"/>
          <w:i/>
          <w:color w:val="000000"/>
          <w:sz w:val="24"/>
        </w:rPr>
        <w:t xml:space="preserve"> </w:t>
      </w:r>
      <w:r>
        <w:rPr>
          <w:rFonts w:ascii="Arial"/>
          <w:color w:val="000000"/>
          <w:sz w:val="24"/>
        </w:rPr>
        <w:t>as requiring, as a condition of validity of a payment claim</w:t>
      </w:r>
      <w:r>
        <w:rPr>
          <w:rFonts w:ascii="Arial"/>
          <w:color w:val="000000"/>
          <w:sz w:val="24"/>
        </w:rPr>
        <w:t xml:space="preserve"> </w:t>
      </w:r>
      <w:r>
        <w:rPr>
          <w:rFonts w:ascii="Arial"/>
          <w:color w:val="000000"/>
          <w:sz w:val="24"/>
        </w:rPr>
        <w:t>and</w:t>
      </w:r>
      <w:r>
        <w:rPr>
          <w:rFonts w:ascii="Arial"/>
          <w:color w:val="000000"/>
          <w:sz w:val="24"/>
        </w:rPr>
        <w:t>/or as</w:t>
      </w:r>
      <w:r>
        <w:rPr>
          <w:rFonts w:ascii="Arial"/>
          <w:color w:val="000000"/>
          <w:sz w:val="24"/>
        </w:rPr>
        <w:t xml:space="preserve"> </w:t>
      </w:r>
      <w:r>
        <w:rPr>
          <w:rFonts w:ascii="Arial"/>
          <w:color w:val="000000"/>
          <w:sz w:val="24"/>
        </w:rPr>
        <w:t xml:space="preserve">a prerequisite to establishing an entitlement to payment </w:t>
      </w:r>
      <w:r>
        <w:rPr>
          <w:rFonts w:ascii="Arial"/>
          <w:color w:val="000000"/>
          <w:sz w:val="24"/>
        </w:rPr>
        <w:t xml:space="preserve">pursuant to ss 14(4) and 15 of the </w:t>
      </w:r>
      <w:r>
        <w:rPr>
          <w:rFonts w:ascii="Arial"/>
          <w:color w:val="000000"/>
          <w:sz w:val="24"/>
        </w:rPr>
        <w:t>SOP Act</w:t>
      </w:r>
      <w:r>
        <w:rPr>
          <w:rFonts w:ascii="Arial"/>
          <w:color w:val="000000"/>
          <w:sz w:val="24"/>
        </w:rPr>
        <w:t xml:space="preserve">, that the work that is the subject of a claim must be objectively established to have been performed. </w:t>
      </w:r>
      <w:r>
        <w:rPr>
          <w:rFonts w:ascii="Arial"/>
          <w:color w:val="000000"/>
          <w:sz w:val="24"/>
        </w:rPr>
        <w:t xml:space="preserve">Different considerations apply </w:t>
      </w:r>
      <w:r>
        <w:rPr>
          <w:rFonts w:ascii="Arial"/>
          <w:color w:val="000000"/>
          <w:sz w:val="24"/>
        </w:rPr>
        <w:t>where a payment schedule has been served and there is an</w:t>
      </w:r>
      <w:r>
        <w:rPr>
          <w:rFonts w:ascii="Arial"/>
          <w:color w:val="000000"/>
          <w:sz w:val="24"/>
        </w:rPr>
        <w:t xml:space="preserve"> </w:t>
      </w:r>
      <w:r>
        <w:rPr>
          <w:rFonts w:ascii="Arial"/>
          <w:color w:val="000000"/>
          <w:sz w:val="24"/>
        </w:rPr>
        <w:t xml:space="preserve">adjudicated </w:t>
      </w:r>
      <w:r>
        <w:rPr>
          <w:rFonts w:ascii="Arial"/>
          <w:color w:val="000000"/>
          <w:sz w:val="24"/>
        </w:rPr>
        <w:t xml:space="preserve">determination of </w:t>
      </w:r>
      <w:r>
        <w:rPr>
          <w:rFonts w:ascii="Arial"/>
          <w:color w:val="000000"/>
          <w:sz w:val="24"/>
        </w:rPr>
        <w:t>the</w:t>
      </w:r>
      <w:r>
        <w:rPr>
          <w:rFonts w:ascii="Arial"/>
          <w:color w:val="000000"/>
          <w:sz w:val="24"/>
        </w:rPr>
        <w:t xml:space="preserve"> </w:t>
      </w:r>
      <w:r>
        <w:rPr>
          <w:rFonts w:ascii="Arial"/>
          <w:color w:val="000000"/>
          <w:sz w:val="24"/>
        </w:rPr>
        <w:t>entitlement to recover the amount claimed</w:t>
      </w:r>
      <w:r>
        <w:rPr>
          <w:rFonts w:ascii="Arial"/>
          <w:color w:val="000000"/>
          <w:sz w:val="24"/>
        </w:rPr>
        <w:t>. Likewise</w:t>
      </w:r>
      <w:r>
        <w:rPr>
          <w:rFonts w:ascii="Arial"/>
          <w:color w:val="000000"/>
          <w:sz w:val="24"/>
        </w:rPr>
        <w:t xml:space="preserve"> </w:t>
      </w:r>
      <w:r>
        <w:rPr>
          <w:rFonts w:ascii="Arial"/>
          <w:color w:val="000000"/>
          <w:sz w:val="24"/>
        </w:rPr>
        <w:t xml:space="preserve">in the context of any ultimate dispute about entitlement to retain money paid pursuant to payment claims. </w:t>
      </w:r>
      <w:r>
        <w:rPr>
          <w:rFonts w:ascii="Arial"/>
          <w:color w:val="000000"/>
          <w:sz w:val="24"/>
        </w:rPr>
        <w:t>But t</w:t>
      </w:r>
      <w:r>
        <w:rPr>
          <w:rFonts w:ascii="Arial"/>
          <w:color w:val="000000"/>
          <w:sz w:val="24"/>
        </w:rPr>
        <w:t xml:space="preserve">he question for present purposes is what must be present or established </w:t>
      </w:r>
      <w:r>
        <w:rPr>
          <w:rFonts w:ascii="Arial"/>
          <w:color w:val="000000"/>
          <w:sz w:val="24"/>
        </w:rPr>
        <w:t>in order to</w:t>
      </w:r>
      <w:r>
        <w:rPr>
          <w:rFonts w:ascii="Arial"/>
          <w:color w:val="000000"/>
          <w:sz w:val="24"/>
        </w:rPr>
        <w:t xml:space="preserve"> </w:t>
      </w:r>
      <w:r>
        <w:rPr>
          <w:rFonts w:ascii="Arial"/>
          <w:color w:val="000000"/>
          <w:sz w:val="24"/>
        </w:rPr>
        <w:t xml:space="preserve">make a claim that is recognised by s 13 of the </w:t>
      </w:r>
      <w:r>
        <w:rPr>
          <w:rFonts w:ascii="Arial"/>
          <w:color w:val="000000"/>
          <w:sz w:val="24"/>
        </w:rPr>
        <w:t>SOP Act</w:t>
      </w:r>
      <w:r>
        <w:rPr>
          <w:rFonts w:ascii="Arial"/>
          <w:i/>
          <w:color w:val="000000"/>
          <w:sz w:val="24"/>
        </w:rPr>
        <w:t xml:space="preserve"> </w:t>
      </w:r>
      <w:r>
        <w:rPr>
          <w:rFonts w:ascii="Arial"/>
          <w:color w:val="000000"/>
          <w:sz w:val="24"/>
        </w:rPr>
        <w:t>as a statutory payment claim</w:t>
      </w:r>
      <w:r>
        <w:rPr>
          <w:rFonts w:ascii="Arial"/>
          <w:color w:val="000000"/>
          <w:sz w:val="24"/>
        </w:rPr>
        <w:t>, and which in turn can trigger the statutory consequences in ss</w:t>
      </w:r>
      <w:r>
        <w:rPr>
          <w:rFonts w:ascii="Arial"/>
          <w:color w:val="000000"/>
          <w:sz w:val="24"/>
        </w:rPr>
        <w:t> 14 and 15</w:t>
      </w:r>
      <w:r>
        <w:rPr>
          <w:rFonts w:ascii="Arial"/>
          <w:color w:val="000000"/>
          <w:sz w:val="24"/>
        </w:rPr>
        <w:t xml:space="preserve"> </w:t>
      </w:r>
      <w:r>
        <w:rPr>
          <w:rFonts w:ascii="Arial"/>
          <w:color w:val="000000"/>
          <w:sz w:val="24"/>
        </w:rPr>
        <w:t>where no payment schedule is served in response</w:t>
      </w:r>
      <w:r>
        <w:rPr>
          <w:rFonts w:ascii="Arial"/>
          <w:color w:val="000000"/>
          <w:sz w:val="24"/>
        </w:rPr>
        <w:t xml:space="preserve">. </w:t>
      </w:r>
    </w:p>
    <w:p>
      <w:pPr>
        <w:pStyle w:val="CaselawNumbered10"/>
        <w:numPr>
          <w:ilvl w:val="0"/>
          <w:numId w:val="37"/>
        </w:numPr>
        <w:spacing w:before="150" w:after="0"/>
        <w:ind w:left="600" w:hanging="600"/>
      </w:pPr>
      <w:r>
        <w:rPr>
          <w:rFonts w:ascii="Arial"/>
          <w:color w:val="000000"/>
          <w:sz w:val="24"/>
        </w:rPr>
        <w:t xml:space="preserve">As is clear from the words of s 13(1), the essence of a claim is that it is based on what the issuing party </w:t>
      </w:r>
      <w:r>
        <w:rPr>
          <w:rFonts w:ascii="Arial"/>
          <w:color w:val="000000"/>
          <w:sz w:val="24"/>
        </w:rPr>
        <w:t>“</w:t>
      </w:r>
      <w:r>
        <w:rPr>
          <w:rFonts w:ascii="Arial"/>
          <w:color w:val="000000"/>
          <w:sz w:val="24"/>
        </w:rPr>
        <w:t>claims to be</w:t>
      </w:r>
      <w:r>
        <w:rPr>
          <w:rFonts w:ascii="Arial"/>
          <w:color w:val="000000"/>
          <w:sz w:val="24"/>
        </w:rPr>
        <w:t xml:space="preserve">” </w:t>
      </w:r>
      <w:r>
        <w:rPr>
          <w:rFonts w:ascii="Arial"/>
          <w:color w:val="000000"/>
          <w:sz w:val="24"/>
        </w:rPr>
        <w:t xml:space="preserve">entitled to. That involves an assertion of </w:t>
      </w:r>
      <w:r>
        <w:rPr>
          <w:rFonts w:ascii="Arial"/>
          <w:color w:val="000000"/>
          <w:sz w:val="24"/>
        </w:rPr>
        <w:t>contractual entitlement</w:t>
      </w:r>
      <w:r>
        <w:rPr>
          <w:rFonts w:ascii="Arial"/>
          <w:color w:val="000000"/>
          <w:sz w:val="24"/>
        </w:rPr>
        <w:t xml:space="preserve"> </w:t>
      </w:r>
      <w:r>
        <w:rPr>
          <w:rFonts w:ascii="Arial"/>
          <w:color w:val="000000"/>
          <w:sz w:val="24"/>
        </w:rPr>
        <w:t xml:space="preserve">as well as an assertion that the construction work has been carried out or undertaken to be carried out </w:t>
      </w:r>
      <w:r>
        <w:rPr>
          <w:rFonts w:ascii="Arial"/>
          <w:color w:val="000000"/>
          <w:sz w:val="24"/>
        </w:rPr>
        <w:t xml:space="preserve">as per the payment claim. </w:t>
      </w:r>
      <w:r>
        <w:rPr>
          <w:rFonts w:ascii="Arial"/>
          <w:color w:val="000000"/>
          <w:sz w:val="24"/>
        </w:rPr>
        <w:t xml:space="preserve">If a </w:t>
      </w:r>
      <w:r>
        <w:rPr>
          <w:rFonts w:ascii="Arial"/>
          <w:color w:val="000000"/>
          <w:sz w:val="24"/>
        </w:rPr>
        <w:t>“</w:t>
      </w:r>
      <w:r>
        <w:rPr>
          <w:rFonts w:ascii="Arial"/>
          <w:color w:val="000000"/>
          <w:sz w:val="24"/>
        </w:rPr>
        <w:t>claim</w:t>
      </w:r>
      <w:r>
        <w:rPr>
          <w:rFonts w:ascii="Arial"/>
          <w:color w:val="000000"/>
          <w:sz w:val="24"/>
        </w:rPr>
        <w:t xml:space="preserve">” </w:t>
      </w:r>
      <w:r>
        <w:rPr>
          <w:rFonts w:ascii="Arial"/>
          <w:color w:val="000000"/>
          <w:sz w:val="24"/>
        </w:rPr>
        <w:t xml:space="preserve">did not have the legal character of a claim under s 13 unless the claimant could establish as a matter of objective fact that the work in question was in fact carried out (or undertaken to be carried out) as asserted, that would mean that a claim may only be made by a person who is in fact entitled to payment. That is impossible to reconcile with the clear words of s 13 in referring to a person who is </w:t>
      </w:r>
      <w:r>
        <w:rPr>
          <w:rFonts w:ascii="Arial"/>
          <w:color w:val="000000"/>
          <w:sz w:val="24"/>
        </w:rPr>
        <w:t>“</w:t>
      </w:r>
      <w:r>
        <w:rPr>
          <w:rFonts w:ascii="Arial"/>
          <w:color w:val="000000"/>
          <w:sz w:val="24"/>
        </w:rPr>
        <w:t>or claims to be</w:t>
      </w:r>
      <w:r>
        <w:rPr>
          <w:rFonts w:ascii="Arial"/>
          <w:color w:val="000000"/>
          <w:sz w:val="24"/>
        </w:rPr>
        <w:t xml:space="preserve">” </w:t>
      </w:r>
      <w:r>
        <w:rPr>
          <w:rFonts w:ascii="Arial"/>
          <w:color w:val="000000"/>
          <w:sz w:val="24"/>
        </w:rPr>
        <w:t>entitled to a progress payment.</w:t>
      </w:r>
    </w:p>
    <w:p>
      <w:pPr>
        <w:pStyle w:val="CaselawNumbered10"/>
        <w:numPr>
          <w:ilvl w:val="0"/>
          <w:numId w:val="37"/>
        </w:numPr>
        <w:spacing w:before="150" w:after="0"/>
        <w:ind w:left="600" w:hanging="600"/>
      </w:pPr>
      <w:r>
        <w:rPr>
          <w:rFonts w:ascii="Arial"/>
          <w:color w:val="000000"/>
          <w:sz w:val="24"/>
        </w:rPr>
        <w:t xml:space="preserve">These conclusions are reinforced by the broader statutory context. </w:t>
      </w:r>
      <w:r>
        <w:rPr>
          <w:rFonts w:ascii="Arial"/>
          <w:color w:val="000000"/>
          <w:sz w:val="24"/>
        </w:rPr>
        <w:t xml:space="preserve">In </w:t>
      </w:r>
      <w:r>
        <w:rPr>
          <w:rFonts w:ascii="Arial"/>
          <w:i/>
          <w:color w:val="000000"/>
          <w:sz w:val="24"/>
        </w:rPr>
        <w:t>Manariti</w:t>
      </w:r>
      <w:r>
        <w:rPr>
          <w:rFonts w:ascii="Arial"/>
          <w:i/>
          <w:color w:val="000000"/>
          <w:sz w:val="24"/>
        </w:rPr>
        <w:t xml:space="preserve"> Plumbing Pty Ltd v Universal Property Group Pty Ltd</w:t>
      </w:r>
      <w:r>
        <w:rPr>
          <w:rFonts w:ascii="Arial"/>
          <w:color w:val="000000"/>
          <w:sz w:val="24"/>
        </w:rPr>
        <w:t xml:space="preserve"> </w:t>
      </w:r>
      <w:r>
        <w:rPr>
          <w:rFonts w:ascii="Arial"/>
          <w:color w:val="000000"/>
          <w:sz w:val="24"/>
        </w:rPr>
        <w:t>[2025] NSWCA 135</w:t>
      </w:r>
      <w:r>
        <w:rPr>
          <w:rFonts w:ascii="Arial"/>
          <w:color w:val="000000"/>
          <w:sz w:val="24"/>
        </w:rPr>
        <w:t xml:space="preserve">, in the course of dealing with an argument about the need for identification of work stemming from s 13(2) of the </w:t>
      </w:r>
      <w:r>
        <w:rPr>
          <w:rFonts w:ascii="Arial"/>
          <w:color w:val="000000"/>
          <w:sz w:val="24"/>
        </w:rPr>
        <w:t>SOP Act</w:t>
      </w:r>
      <w:r>
        <w:rPr>
          <w:rFonts w:ascii="Arial"/>
          <w:color w:val="000000"/>
          <w:sz w:val="24"/>
        </w:rPr>
        <w:t xml:space="preserve">, I </w:t>
      </w:r>
      <w:r>
        <w:rPr>
          <w:rFonts w:ascii="Arial"/>
          <w:color w:val="000000"/>
          <w:sz w:val="24"/>
        </w:rPr>
        <w:t>considered</w:t>
      </w:r>
      <w:r>
        <w:rPr>
          <w:rFonts w:ascii="Arial"/>
          <w:color w:val="000000"/>
          <w:sz w:val="24"/>
        </w:rPr>
        <w:t xml:space="preserve"> </w:t>
      </w:r>
      <w:r>
        <w:rPr>
          <w:rFonts w:ascii="Arial"/>
          <w:color w:val="000000"/>
          <w:sz w:val="24"/>
        </w:rPr>
        <w:t>a number of authorities that have described the scheme of the Act, at [42]</w:t>
      </w:r>
      <w:r>
        <w:rPr>
          <w:rFonts w:ascii="Arial"/>
          <w:color w:val="000000"/>
          <w:sz w:val="24"/>
        </w:rPr>
        <w:t>-[44]</w:t>
      </w:r>
      <w:r>
        <w:rPr>
          <w:rFonts w:ascii="Arial"/>
          <w:color w:val="000000"/>
          <w:sz w:val="24"/>
        </w:rPr>
        <w:t xml:space="preserve"> </w:t>
      </w:r>
      <w:r>
        <w:rPr>
          <w:rFonts w:ascii="Arial"/>
          <w:color w:val="000000"/>
          <w:sz w:val="24"/>
        </w:rPr>
        <w:t>(Ball and McHugh JJA agreeing</w:t>
      </w:r>
      <w:r>
        <w:rPr>
          <w:rFonts w:ascii="Arial"/>
          <w:color w:val="000000"/>
          <w:sz w:val="24"/>
        </w:rPr>
        <w:t>):</w:t>
      </w:r>
      <w:r>
        <w:rPr>
          <w:rFonts w:ascii="Arial"/>
          <w:color w:val="000000"/>
          <w:sz w:val="24"/>
        </w:rPr>
        <w:t xml:space="preserve"> </w:t>
      </w:r>
    </w:p>
    <w:p>
      <w:pPr>
        <w:pStyle w:val="CaselawQuote"/>
        <w:spacing w:before="150" w:after="150"/>
        <w:ind w:left="1350"/>
        <w:jc w:val="left"/>
      </w:pPr>
      <w:r>
        <w:rPr>
          <w:rFonts w:ascii="Arial"/>
          <w:color w:val="000000"/>
          <w:sz w:val="22"/>
        </w:rPr>
        <w:t xml:space="preserve">Such analysis of the requirements of s 13(2) must be understood in the broader context of an Act that has the purpose, as described by Basten JA in </w:t>
      </w:r>
      <w:r>
        <w:rPr>
          <w:rFonts w:ascii="Arial"/>
          <w:i/>
          <w:color w:val="000000"/>
          <w:sz w:val="22"/>
        </w:rPr>
        <w:t xml:space="preserve">Coordinated Construction Co Pty Ltd v </w:t>
      </w:r>
      <w:r>
        <w:rPr>
          <w:rFonts w:ascii="Arial"/>
          <w:i/>
          <w:color w:val="000000"/>
          <w:sz w:val="22"/>
        </w:rPr>
        <w:t>Climatech</w:t>
      </w:r>
      <w:r>
        <w:rPr>
          <w:rFonts w:ascii="Arial"/>
          <w:i/>
          <w:color w:val="000000"/>
          <w:sz w:val="22"/>
        </w:rPr>
        <w:t xml:space="preserve"> (Canberra) Pty Ltd</w:t>
      </w:r>
      <w:r>
        <w:rPr>
          <w:rFonts w:ascii="Arial"/>
          <w:color w:val="000000"/>
          <w:sz w:val="22"/>
        </w:rPr>
        <w:t xml:space="preserve"> [2005] NSWCA 229; (2005) 21 BCL 364 at 381 [45], of providing “a speedy and effective means of ensuring that progress payments are made during the course of the administration of a construction contract, without undue formality or resort to the law”. A related contextual consideration is that progress payments are payments on account: see </w:t>
      </w:r>
      <w:r>
        <w:rPr>
          <w:rFonts w:ascii="Arial"/>
          <w:color w:val="000000"/>
          <w:sz w:val="22"/>
        </w:rPr>
        <w:t>[</w:t>
      </w:r>
      <w:r>
        <w:rPr>
          <w:rFonts w:ascii="Arial"/>
          <w:i/>
          <w:color w:val="000000"/>
          <w:sz w:val="22"/>
        </w:rPr>
        <w:t xml:space="preserve">Southern Han Breakfast Point Pty Ltd (in </w:t>
      </w:r>
      <w:r>
        <w:rPr>
          <w:rFonts w:ascii="Arial"/>
          <w:i/>
          <w:color w:val="000000"/>
          <w:sz w:val="22"/>
        </w:rPr>
        <w:t>liq</w:t>
      </w:r>
      <w:r>
        <w:rPr>
          <w:rFonts w:ascii="Arial"/>
          <w:i/>
          <w:color w:val="000000"/>
          <w:sz w:val="22"/>
        </w:rPr>
        <w:t xml:space="preserve">) v </w:t>
      </w:r>
      <w:r>
        <w:rPr>
          <w:rFonts w:ascii="Arial"/>
          <w:i/>
          <w:color w:val="000000"/>
          <w:sz w:val="22"/>
        </w:rPr>
        <w:t>Lewence</w:t>
      </w:r>
      <w:r>
        <w:rPr>
          <w:rFonts w:ascii="Arial"/>
          <w:i/>
          <w:color w:val="000000"/>
          <w:sz w:val="22"/>
        </w:rPr>
        <w:t xml:space="preserve"> Construction Pty Ltd</w:t>
      </w:r>
      <w:r>
        <w:rPr>
          <w:rFonts w:ascii="Arial"/>
          <w:color w:val="000000"/>
          <w:sz w:val="22"/>
        </w:rPr>
        <w:t xml:space="preserve"> (2016) 260 CLR 340; [2016] HCA 52</w:t>
      </w:r>
      <w:r>
        <w:rPr>
          <w:rFonts w:ascii="Arial"/>
          <w:color w:val="000000"/>
          <w:sz w:val="22"/>
        </w:rPr>
        <w:t>]</w:t>
      </w:r>
      <w:r>
        <w:rPr>
          <w:rFonts w:ascii="Arial"/>
          <w:color w:val="000000"/>
          <w:sz w:val="22"/>
        </w:rPr>
        <w:t xml:space="preserve"> at [4], quoting the second reading speech for the Bill for the original SOP Act. The statutory entitlement of a party to a progress payment does not affect the substantive rights of the parties under the construction contract: see s 32, </w:t>
      </w:r>
      <w:r>
        <w:rPr>
          <w:rFonts w:ascii="Arial"/>
          <w:color w:val="000000"/>
          <w:sz w:val="22"/>
        </w:rPr>
        <w:t>SOP Act</w:t>
      </w:r>
      <w:r>
        <w:rPr>
          <w:rFonts w:ascii="Arial"/>
          <w:color w:val="000000"/>
          <w:sz w:val="22"/>
        </w:rPr>
        <w:t xml:space="preserve">. Hence the description of the statutory scheme as “pay now, fight later”: </w:t>
      </w:r>
      <w:r>
        <w:rPr>
          <w:rFonts w:ascii="Arial"/>
          <w:i/>
          <w:color w:val="000000"/>
          <w:sz w:val="22"/>
        </w:rPr>
        <w:t xml:space="preserve">Martinus Rail Pty Ltd v Qube RE Services (No 2) Pty Ltd </w:t>
      </w:r>
      <w:r>
        <w:rPr>
          <w:rFonts w:ascii="Arial"/>
          <w:color w:val="000000"/>
          <w:sz w:val="22"/>
        </w:rPr>
        <w:t>[2025] NSWCA 49 at [8] (per Payne JA, with whom Gleeson JA and Griffiths AJA agreed).</w:t>
      </w:r>
    </w:p>
    <w:p>
      <w:pPr>
        <w:pStyle w:val="CaselawQuote"/>
        <w:spacing w:before="150" w:after="150"/>
        <w:ind w:left="1350"/>
        <w:jc w:val="left"/>
      </w:pPr>
      <w:r>
        <w:rPr>
          <w:rFonts w:ascii="Arial"/>
          <w:color w:val="000000"/>
          <w:sz w:val="22"/>
        </w:rPr>
        <w:t xml:space="preserve">In </w:t>
      </w:r>
      <w:r>
        <w:rPr>
          <w:rFonts w:ascii="Arial"/>
          <w:i/>
          <w:color w:val="000000"/>
          <w:sz w:val="22"/>
        </w:rPr>
        <w:t>TFM Epping Land Pty Ltd v Decon Australia Pty Ltd</w:t>
      </w:r>
      <w:r>
        <w:rPr>
          <w:rFonts w:ascii="Arial"/>
          <w:color w:val="000000"/>
          <w:sz w:val="22"/>
        </w:rPr>
        <w:t xml:space="preserve"> [2020] NSWCA 118, the Court (Bell P, Macfarlan and Leeming JJA) said this about the SOP Act at [25]:</w:t>
      </w:r>
    </w:p>
    <w:p>
      <w:pPr>
        <w:pStyle w:val="CaselawQuote0"/>
        <w:spacing w:before="150" w:after="150"/>
        <w:ind w:left="2100"/>
        <w:jc w:val="left"/>
      </w:pPr>
      <w:r>
        <w:rPr>
          <w:rFonts w:ascii="Arial"/>
          <w:color w:val="000000"/>
          <w:sz w:val="22"/>
        </w:rPr>
        <w:t>Thus the Act provides for a speedy but interim determination and enforcement of disputes arising out of construction contracts through the service of payment claims and payment schedules and adjudications, leading to an entitlement to payment, enforcement of the parties’ entitlements by way of judgment, and ultimately if necessary by way of execution, but without affecting the parties’ contractual rights as determined in the ordinary way in litigation.</w:t>
      </w:r>
    </w:p>
    <w:p>
      <w:pPr>
        <w:pStyle w:val="CaselawQuote"/>
        <w:spacing w:before="150" w:after="150"/>
        <w:ind w:left="1350"/>
        <w:jc w:val="left"/>
      </w:pPr>
      <w:r>
        <w:rPr>
          <w:rFonts w:ascii="Arial"/>
          <w:color w:val="000000"/>
          <w:sz w:val="22"/>
        </w:rPr>
        <w:t xml:space="preserve">To similar effect, in </w:t>
      </w:r>
      <w:r>
        <w:rPr>
          <w:rFonts w:ascii="Arial"/>
          <w:i/>
          <w:color w:val="000000"/>
          <w:sz w:val="22"/>
        </w:rPr>
        <w:t>Style Timber Floor Pty Ltd v Krivosudsky</w:t>
      </w:r>
      <w:r>
        <w:rPr>
          <w:rFonts w:ascii="Arial"/>
          <w:color w:val="000000"/>
          <w:sz w:val="22"/>
        </w:rPr>
        <w:t xml:space="preserve"> (2019) 100 NSWLR 133; [2019] NSWCA 171 … </w:t>
      </w:r>
      <w:r>
        <w:rPr>
          <w:rFonts w:ascii="Arial"/>
          <w:color w:val="000000"/>
          <w:sz w:val="22"/>
        </w:rPr>
        <w:t>,</w:t>
      </w:r>
      <w:r>
        <w:rPr>
          <w:rFonts w:ascii="Arial"/>
          <w:color w:val="000000"/>
          <w:sz w:val="22"/>
        </w:rPr>
        <w:t xml:space="preserve"> Bell P (with whom Simpson AJA agreed) explained the scheme of Part 3 in the following terms:</w:t>
      </w:r>
    </w:p>
    <w:p>
      <w:pPr>
        <w:pStyle w:val="CaselawQuote0"/>
        <w:spacing w:before="150" w:after="150"/>
        <w:ind w:left="2100"/>
        <w:jc w:val="left"/>
      </w:pPr>
      <w:r>
        <w:rPr>
          <w:rFonts w:ascii="Arial"/>
          <w:color w:val="000000"/>
          <w:sz w:val="22"/>
        </w:rPr>
        <w:t xml:space="preserve">[25] Part 3 specifies how the legislative purpose of achieving a prompt </w:t>
      </w:r>
      <w:r>
        <w:rPr>
          <w:rFonts w:ascii="Arial"/>
          <w:i/>
          <w:color w:val="000000"/>
          <w:sz w:val="22"/>
        </w:rPr>
        <w:t xml:space="preserve">pro </w:t>
      </w:r>
      <w:r>
        <w:rPr>
          <w:rFonts w:ascii="Arial"/>
          <w:i/>
          <w:color w:val="000000"/>
          <w:sz w:val="22"/>
        </w:rPr>
        <w:t>tem</w:t>
      </w:r>
      <w:r>
        <w:rPr>
          <w:rFonts w:ascii="Arial"/>
          <w:color w:val="000000"/>
          <w:sz w:val="22"/>
        </w:rPr>
        <w:t xml:space="preserve"> resolution of disputes and payment of monies, all without prejudice to the parties’ rights at law, is to be </w:t>
      </w:r>
      <w:r>
        <w:rPr>
          <w:rFonts w:ascii="Arial"/>
          <w:color w:val="000000"/>
          <w:sz w:val="22"/>
        </w:rPr>
        <w:t>effected</w:t>
      </w:r>
      <w:r>
        <w:rPr>
          <w:rFonts w:ascii="Arial"/>
          <w:color w:val="000000"/>
          <w:sz w:val="22"/>
        </w:rPr>
        <w:t xml:space="preserve">. This reflects what Hodgson JA said (with the agreement of Mason P and Giles JA) in </w:t>
      </w:r>
      <w:r>
        <w:rPr>
          <w:rFonts w:ascii="Arial"/>
          <w:i/>
          <w:color w:val="000000"/>
          <w:sz w:val="22"/>
        </w:rPr>
        <w:t xml:space="preserve">Brodyn Pty Ltd t/as Time Cost and Quality v Davenport </w:t>
      </w:r>
      <w:r>
        <w:rPr>
          <w:rFonts w:ascii="Arial"/>
          <w:color w:val="000000"/>
          <w:sz w:val="22"/>
        </w:rPr>
        <w:t>(2004) 61 NSWLR 421; [2004] NSWCA 394 at [51]:</w:t>
      </w:r>
    </w:p>
    <w:p>
      <w:pPr>
        <w:pStyle w:val="CaselawQuote1"/>
        <w:spacing w:before="150" w:after="150"/>
        <w:ind w:left="2850"/>
        <w:jc w:val="left"/>
      </w:pPr>
      <w:r>
        <w:rPr>
          <w:rFonts w:ascii="Arial"/>
          <w:color w:val="000000"/>
          <w:sz w:val="22"/>
        </w:rPr>
        <w:t>The Act discloses a legislative intention to give an entitlement to progress payments, and to provide a mechanism to ensure that disputes concerning the amount of such payments are resolved with the minimum of delay. The payments themselves are only payments on account of a liability that will be finally determined otherwise: ss 3(4), 32.</w:t>
      </w:r>
    </w:p>
    <w:p>
      <w:pPr>
        <w:pStyle w:val="CaselawNumbered10"/>
        <w:numPr>
          <w:ilvl w:val="0"/>
          <w:numId w:val="38"/>
        </w:numPr>
        <w:spacing w:before="150" w:after="0"/>
        <w:ind w:left="600" w:hanging="600"/>
      </w:pPr>
      <w:r>
        <w:rPr>
          <w:rFonts w:ascii="Arial"/>
          <w:color w:val="000000"/>
          <w:sz w:val="24"/>
        </w:rPr>
        <w:t xml:space="preserve">If the recipient of a payment claim wishes to resist payment of any part of the payment claim, the appropriate response under the </w:t>
      </w:r>
      <w:r>
        <w:rPr>
          <w:rFonts w:ascii="Arial"/>
          <w:color w:val="000000"/>
          <w:sz w:val="24"/>
        </w:rPr>
        <w:t>SOP Act</w:t>
      </w:r>
      <w:r>
        <w:rPr>
          <w:rFonts w:ascii="Arial"/>
          <w:i/>
          <w:color w:val="000000"/>
          <w:sz w:val="24"/>
        </w:rPr>
        <w:t xml:space="preserve"> </w:t>
      </w:r>
      <w:r>
        <w:rPr>
          <w:rFonts w:ascii="Arial"/>
          <w:color w:val="000000"/>
          <w:sz w:val="24"/>
        </w:rPr>
        <w:t>is to serve a payment schedule which indicates the amount in dispute and the respondent</w:t>
      </w:r>
      <w:r>
        <w:rPr>
          <w:rFonts w:ascii="Arial"/>
          <w:color w:val="000000"/>
          <w:sz w:val="24"/>
        </w:rPr>
        <w:t>’</w:t>
      </w:r>
      <w:r>
        <w:rPr>
          <w:rFonts w:ascii="Arial"/>
          <w:color w:val="000000"/>
          <w:sz w:val="24"/>
        </w:rPr>
        <w:t xml:space="preserve">s reasons for withholding payment: s 14(2) and (3). Where that occurs, the statutory process for adjudication of disputes under Pt 3 Div 2 of the </w:t>
      </w:r>
      <w:r>
        <w:rPr>
          <w:rFonts w:ascii="Arial"/>
          <w:color w:val="000000"/>
          <w:sz w:val="24"/>
        </w:rPr>
        <w:t>SOP Act</w:t>
      </w:r>
      <w:r>
        <w:rPr>
          <w:rFonts w:ascii="Arial"/>
          <w:i/>
          <w:color w:val="000000"/>
          <w:sz w:val="24"/>
        </w:rPr>
        <w:t xml:space="preserve"> </w:t>
      </w:r>
      <w:r>
        <w:rPr>
          <w:rFonts w:ascii="Arial"/>
          <w:color w:val="000000"/>
          <w:sz w:val="24"/>
        </w:rPr>
        <w:t>is engaged.</w:t>
      </w:r>
      <w:r>
        <w:rPr>
          <w:rFonts w:ascii="Arial"/>
          <w:color w:val="000000"/>
          <w:sz w:val="24"/>
        </w:rPr>
        <w:t xml:space="preserve"> </w:t>
      </w:r>
      <w:r>
        <w:rPr>
          <w:rFonts w:ascii="Arial"/>
          <w:color w:val="000000"/>
          <w:sz w:val="24"/>
        </w:rPr>
        <w:t xml:space="preserve">If the recipient of a payment </w:t>
      </w:r>
      <w:r>
        <w:rPr>
          <w:rFonts w:ascii="Arial"/>
          <w:color w:val="000000"/>
          <w:sz w:val="24"/>
        </w:rPr>
        <w:t>claim</w:t>
      </w:r>
      <w:r>
        <w:rPr>
          <w:rFonts w:ascii="Arial"/>
          <w:color w:val="000000"/>
          <w:sz w:val="24"/>
        </w:rPr>
        <w:t xml:space="preserve"> </w:t>
      </w:r>
      <w:r>
        <w:rPr>
          <w:rFonts w:ascii="Arial"/>
          <w:color w:val="000000"/>
          <w:sz w:val="24"/>
        </w:rPr>
        <w:t xml:space="preserve">neglects to serve a payment schedule, then the statutory consequence is that a liability to pay arises and the amount in question can be recovered by the claimant as a debt due. That debt arises </w:t>
      </w:r>
      <w:r>
        <w:rPr>
          <w:rFonts w:ascii="Arial"/>
          <w:color w:val="000000"/>
          <w:sz w:val="24"/>
        </w:rPr>
        <w:t xml:space="preserve">from the Act </w:t>
      </w:r>
      <w:r>
        <w:rPr>
          <w:rFonts w:ascii="Arial"/>
          <w:color w:val="000000"/>
          <w:sz w:val="24"/>
        </w:rPr>
        <w:t>as a consequence of</w:t>
      </w:r>
      <w:r>
        <w:rPr>
          <w:rFonts w:ascii="Arial"/>
          <w:color w:val="000000"/>
          <w:sz w:val="24"/>
        </w:rPr>
        <w:t xml:space="preserve"> </w:t>
      </w:r>
      <w:r>
        <w:rPr>
          <w:rFonts w:ascii="Arial"/>
          <w:color w:val="000000"/>
          <w:sz w:val="24"/>
        </w:rPr>
        <w:t xml:space="preserve">the lack of response to a claim being made, and not because </w:t>
      </w:r>
      <w:r>
        <w:rPr>
          <w:rFonts w:ascii="Arial"/>
          <w:color w:val="000000"/>
          <w:sz w:val="24"/>
        </w:rPr>
        <w:t>the claimant demonstrates the</w:t>
      </w:r>
      <w:r>
        <w:rPr>
          <w:rFonts w:ascii="Arial"/>
          <w:color w:val="000000"/>
          <w:sz w:val="24"/>
        </w:rPr>
        <w:t xml:space="preserve"> </w:t>
      </w:r>
      <w:r>
        <w:rPr>
          <w:rFonts w:ascii="Arial"/>
          <w:color w:val="000000"/>
          <w:sz w:val="24"/>
        </w:rPr>
        <w:t xml:space="preserve">underlying contractual entitlement to the amount in question. This scheme would be subverted if it was also necessary for a claimant, as a </w:t>
      </w:r>
      <w:r>
        <w:rPr>
          <w:rFonts w:ascii="Arial"/>
          <w:color w:val="000000"/>
          <w:sz w:val="24"/>
        </w:rPr>
        <w:t>pre</w:t>
      </w:r>
      <w:r>
        <w:rPr>
          <w:rFonts w:ascii="Arial"/>
          <w:color w:val="000000"/>
          <w:sz w:val="24"/>
        </w:rPr>
        <w:t>condition of seeking to recover the amount due because of such a claim, to prove the correctness of the matters asserted in the claim.</w:t>
      </w:r>
    </w:p>
    <w:p>
      <w:pPr>
        <w:pStyle w:val="CaselawNumbered10"/>
        <w:numPr>
          <w:ilvl w:val="0"/>
          <w:numId w:val="38"/>
        </w:numPr>
        <w:spacing w:before="150" w:after="0"/>
        <w:ind w:left="600" w:hanging="600"/>
      </w:pPr>
      <w:r>
        <w:rPr>
          <w:rFonts w:ascii="Arial"/>
          <w:color w:val="000000"/>
          <w:sz w:val="24"/>
        </w:rPr>
        <w:t xml:space="preserve">For these reasons, I reject the argument that Black Sheep could not enforce the statutory liability arising from PC3 and PC4 without demonstrating that at least some of the work referred to in those claims was performed. </w:t>
      </w:r>
      <w:r>
        <w:rPr>
          <w:rFonts w:ascii="Arial"/>
          <w:color w:val="000000"/>
          <w:sz w:val="24"/>
        </w:rPr>
        <w:t xml:space="preserve"> </w:t>
      </w:r>
    </w:p>
    <w:p>
      <w:pPr>
        <w:pStyle w:val="CaselawHeading3"/>
        <w:keepNext/>
        <w:spacing w:before="150" w:after="150" w:line="264"/>
        <w:ind w:left="0"/>
        <w:jc w:val="left"/>
      </w:pPr>
      <w:r>
        <w:rPr>
          <w:rFonts w:ascii="Arial"/>
        </w:rPr>
        <w:t>PC3 and PC4 were not served prematurely</w:t>
      </w:r>
    </w:p>
    <w:p>
      <w:pPr>
        <w:pStyle w:val="CaselawNumbered10"/>
        <w:numPr>
          <w:ilvl w:val="0"/>
          <w:numId w:val="39"/>
        </w:numPr>
        <w:spacing w:before="150" w:after="0"/>
        <w:ind w:left="600" w:hanging="600"/>
      </w:pPr>
      <w:r>
        <w:rPr>
          <w:rFonts w:ascii="Arial"/>
          <w:color w:val="000000"/>
          <w:sz w:val="24"/>
        </w:rPr>
        <w:t xml:space="preserve">The second argument is that </w:t>
      </w:r>
      <w:r>
        <w:rPr>
          <w:rFonts w:ascii="Arial"/>
          <w:color w:val="000000"/>
          <w:sz w:val="24"/>
        </w:rPr>
        <w:t>PC3 and PC4</w:t>
      </w:r>
      <w:r>
        <w:rPr>
          <w:rFonts w:ascii="Arial"/>
          <w:color w:val="000000"/>
          <w:sz w:val="24"/>
        </w:rPr>
        <w:t xml:space="preserve"> </w:t>
      </w:r>
      <w:r>
        <w:rPr>
          <w:rFonts w:ascii="Arial"/>
          <w:color w:val="000000"/>
          <w:sz w:val="24"/>
        </w:rPr>
        <w:t xml:space="preserve">were issued </w:t>
      </w:r>
      <w:r>
        <w:rPr>
          <w:rFonts w:ascii="Arial"/>
          <w:color w:val="000000"/>
          <w:sz w:val="24"/>
        </w:rPr>
        <w:t>“</w:t>
      </w:r>
      <w:r>
        <w:rPr>
          <w:rFonts w:ascii="Arial"/>
          <w:color w:val="000000"/>
          <w:sz w:val="24"/>
        </w:rPr>
        <w:t>prematurely</w:t>
      </w:r>
      <w:r>
        <w:rPr>
          <w:rFonts w:ascii="Arial"/>
          <w:color w:val="000000"/>
          <w:sz w:val="24"/>
        </w:rPr>
        <w:t>”</w:t>
      </w:r>
      <w:r>
        <w:rPr>
          <w:rFonts w:ascii="Arial"/>
          <w:color w:val="000000"/>
          <w:sz w:val="24"/>
        </w:rPr>
        <w:t xml:space="preserve">, in the sense of having been made before the time when Black Sheep was entitled under the </w:t>
      </w:r>
      <w:r>
        <w:rPr>
          <w:rFonts w:ascii="Arial"/>
          <w:color w:val="000000"/>
          <w:sz w:val="24"/>
        </w:rPr>
        <w:t>SOP Act</w:t>
      </w:r>
      <w:r>
        <w:rPr>
          <w:rFonts w:ascii="Arial"/>
          <w:i/>
          <w:color w:val="000000"/>
          <w:sz w:val="24"/>
        </w:rPr>
        <w:t xml:space="preserve"> </w:t>
      </w:r>
      <w:r>
        <w:rPr>
          <w:rFonts w:ascii="Arial"/>
          <w:color w:val="000000"/>
          <w:sz w:val="24"/>
        </w:rPr>
        <w:t xml:space="preserve">(read in the context of the Contract) to make a claim. </w:t>
      </w:r>
      <w:r>
        <w:rPr>
          <w:rFonts w:ascii="Arial"/>
          <w:color w:val="000000"/>
          <w:sz w:val="24"/>
        </w:rPr>
        <w:t xml:space="preserve">Because PC3 includes a claim for work carried out in August 2025, Portelli argues that under s 13 of the </w:t>
      </w:r>
      <w:r>
        <w:rPr>
          <w:rFonts w:ascii="Arial"/>
          <w:color w:val="000000"/>
          <w:sz w:val="24"/>
        </w:rPr>
        <w:t>SOP Act</w:t>
      </w:r>
      <w:r>
        <w:rPr>
          <w:rFonts w:ascii="Arial"/>
          <w:i/>
          <w:color w:val="000000"/>
          <w:sz w:val="24"/>
        </w:rPr>
        <w:t xml:space="preserve"> </w:t>
      </w:r>
      <w:r>
        <w:rPr>
          <w:rFonts w:ascii="Arial"/>
          <w:color w:val="000000"/>
          <w:sz w:val="24"/>
        </w:rPr>
        <w:t>it could not be validly served until after the end of August 2025. An equivalent argument arises for PC4, because it incorporated a claim for payment in respect of work in September 2025, but was issued before the end of September 2025.</w:t>
      </w:r>
    </w:p>
    <w:p>
      <w:pPr>
        <w:pStyle w:val="CaselawNumbered10"/>
        <w:numPr>
          <w:ilvl w:val="0"/>
          <w:numId w:val="39"/>
        </w:numPr>
        <w:spacing w:before="150" w:after="0"/>
        <w:ind w:left="600" w:hanging="600"/>
      </w:pPr>
      <w:r>
        <w:rPr>
          <w:rFonts w:ascii="Arial"/>
          <w:color w:val="000000"/>
          <w:sz w:val="24"/>
        </w:rPr>
        <w:t xml:space="preserve">There are </w:t>
      </w:r>
      <w:r>
        <w:rPr>
          <w:rFonts w:ascii="Arial"/>
          <w:color w:val="000000"/>
          <w:sz w:val="24"/>
        </w:rPr>
        <w:t>a number of</w:t>
      </w:r>
      <w:r>
        <w:rPr>
          <w:rFonts w:ascii="Arial"/>
          <w:color w:val="000000"/>
          <w:sz w:val="24"/>
        </w:rPr>
        <w:t xml:space="preserve"> </w:t>
      </w:r>
      <w:r>
        <w:rPr>
          <w:rFonts w:ascii="Arial"/>
          <w:color w:val="000000"/>
          <w:sz w:val="24"/>
        </w:rPr>
        <w:t xml:space="preserve">subsections within s 13 of the </w:t>
      </w:r>
      <w:r>
        <w:rPr>
          <w:rFonts w:ascii="Arial"/>
          <w:color w:val="000000"/>
          <w:sz w:val="24"/>
        </w:rPr>
        <w:t>SOP Act</w:t>
      </w:r>
      <w:r>
        <w:rPr>
          <w:rFonts w:ascii="Arial"/>
          <w:color w:val="000000"/>
          <w:sz w:val="24"/>
        </w:rPr>
        <w:t xml:space="preserve"> </w:t>
      </w:r>
      <w:r>
        <w:rPr>
          <w:rFonts w:ascii="Arial"/>
          <w:color w:val="000000"/>
          <w:sz w:val="24"/>
        </w:rPr>
        <w:t>that have a bearing on the content of payment claims and the time of service of those claims. The propositions which emerge from s 13 include the following (focusing for the sake of simplicity on construction work, and putting to one side the treatment of related goods and services that are supplied or undertaken to be supplied):</w:t>
      </w:r>
    </w:p>
    <w:p>
      <w:pPr>
        <w:pStyle w:val="CaselawNumbered1"/>
        <w:numPr>
          <w:ilvl w:val="0"/>
          <w:numId w:val="40"/>
        </w:numPr>
        <w:spacing w:before="150" w:after="0"/>
        <w:ind w:left="1350" w:hanging="750"/>
      </w:pPr>
      <w:r>
        <w:rPr>
          <w:rFonts w:ascii="Arial"/>
          <w:color w:val="000000"/>
          <w:sz w:val="24"/>
        </w:rPr>
        <w:t xml:space="preserve">a payment claim may be served on and from the last day of the named month in which the construction work was first carried out under the contract and on and from the last day of each subsequent named month: s 13(1A). However, if the construction contract makes provision for an earlier date for the serving of a payment claim in any </w:t>
      </w:r>
      <w:r>
        <w:rPr>
          <w:rFonts w:ascii="Arial"/>
          <w:color w:val="000000"/>
          <w:sz w:val="24"/>
        </w:rPr>
        <w:t>particular named</w:t>
      </w:r>
      <w:r>
        <w:rPr>
          <w:rFonts w:ascii="Arial"/>
          <w:color w:val="000000"/>
          <w:sz w:val="24"/>
        </w:rPr>
        <w:t xml:space="preserve"> </w:t>
      </w:r>
      <w:r>
        <w:rPr>
          <w:rFonts w:ascii="Arial"/>
          <w:color w:val="000000"/>
          <w:sz w:val="24"/>
        </w:rPr>
        <w:t xml:space="preserve">month, the claim may be served on and from that date (instead of </w:t>
      </w:r>
      <w:r>
        <w:rPr>
          <w:rFonts w:ascii="Arial"/>
          <w:color w:val="000000"/>
          <w:sz w:val="24"/>
        </w:rPr>
        <w:t xml:space="preserve">on and </w:t>
      </w:r>
      <w:r>
        <w:rPr>
          <w:rFonts w:ascii="Arial"/>
          <w:color w:val="000000"/>
          <w:sz w:val="24"/>
        </w:rPr>
        <w:t>from the last day of that month): s 13(1B</w:t>
      </w:r>
      <w:r>
        <w:rPr>
          <w:rFonts w:ascii="Arial"/>
          <w:color w:val="000000"/>
          <w:sz w:val="24"/>
        </w:rPr>
        <w:t>);</w:t>
      </w:r>
    </w:p>
    <w:p>
      <w:pPr>
        <w:pStyle w:val="CaselawNumbered1"/>
        <w:numPr>
          <w:ilvl w:val="0"/>
          <w:numId w:val="40"/>
        </w:numPr>
        <w:spacing w:before="150" w:after="0"/>
        <w:ind w:left="1350" w:hanging="750"/>
      </w:pPr>
      <w:r>
        <w:rPr>
          <w:rFonts w:ascii="Arial"/>
          <w:color w:val="000000"/>
          <w:sz w:val="24"/>
        </w:rPr>
        <w:t xml:space="preserve">except as otherwise permitted by the construction contract, a claimant may only serve one payment claim in any </w:t>
      </w:r>
      <w:r>
        <w:rPr>
          <w:rFonts w:ascii="Arial"/>
          <w:color w:val="000000"/>
          <w:sz w:val="24"/>
        </w:rPr>
        <w:t>particular named</w:t>
      </w:r>
      <w:r>
        <w:rPr>
          <w:rFonts w:ascii="Arial"/>
          <w:color w:val="000000"/>
          <w:sz w:val="24"/>
        </w:rPr>
        <w:t xml:space="preserve"> </w:t>
      </w:r>
      <w:r>
        <w:rPr>
          <w:rFonts w:ascii="Arial"/>
          <w:color w:val="000000"/>
          <w:sz w:val="24"/>
        </w:rPr>
        <w:t>month for construction work carried out in that month: s 13(5)</w:t>
      </w:r>
      <w:r>
        <w:rPr>
          <w:rFonts w:ascii="Arial"/>
          <w:color w:val="000000"/>
          <w:sz w:val="24"/>
        </w:rPr>
        <w:t xml:space="preserve">. Implicit in that subsection is the proposition that a payment claim served in a particular named month may be issued in respect of construction work carried out in that month. The point of the restriction in subs (5) is that no more than one payment claim may be issued in a particular month for work carried out in that month, unless that is authorised by the relevant </w:t>
      </w:r>
      <w:r>
        <w:rPr>
          <w:rFonts w:ascii="Arial"/>
          <w:color w:val="000000"/>
          <w:sz w:val="24"/>
        </w:rPr>
        <w:t>contract</w:t>
      </w:r>
      <w:r>
        <w:rPr>
          <w:rFonts w:ascii="Arial"/>
          <w:color w:val="000000"/>
          <w:sz w:val="24"/>
        </w:rPr>
        <w:t>;</w:t>
      </w:r>
    </w:p>
    <w:p>
      <w:pPr>
        <w:pStyle w:val="CaselawNumbered1"/>
        <w:numPr>
          <w:ilvl w:val="0"/>
          <w:numId w:val="40"/>
        </w:numPr>
        <w:spacing w:before="150" w:after="0"/>
        <w:ind w:left="1350" w:hanging="750"/>
      </w:pPr>
      <w:r>
        <w:rPr>
          <w:rFonts w:ascii="Arial"/>
          <w:color w:val="000000"/>
          <w:sz w:val="24"/>
        </w:rPr>
        <w:t>a claimant may serve a single payment claim in respect of more than one progress payment</w:t>
      </w:r>
      <w:r>
        <w:rPr>
          <w:rFonts w:ascii="Arial"/>
          <w:color w:val="000000"/>
          <w:sz w:val="24"/>
        </w:rPr>
        <w:t xml:space="preserve"> </w:t>
      </w:r>
      <w:r>
        <w:rPr>
          <w:rFonts w:ascii="Arial"/>
          <w:color w:val="000000"/>
          <w:sz w:val="24"/>
        </w:rPr>
        <w:t>(s 13(6)(a)</w:t>
      </w:r>
      <w:r>
        <w:rPr>
          <w:rFonts w:ascii="Arial"/>
          <w:color w:val="000000"/>
          <w:sz w:val="24"/>
        </w:rPr>
        <w:t>)</w:t>
      </w:r>
      <w:r>
        <w:rPr>
          <w:rFonts w:ascii="Arial"/>
          <w:color w:val="000000"/>
          <w:sz w:val="24"/>
        </w:rPr>
        <w:t>;</w:t>
      </w:r>
    </w:p>
    <w:p>
      <w:pPr>
        <w:pStyle w:val="CaselawNumbered1"/>
        <w:numPr>
          <w:ilvl w:val="0"/>
          <w:numId w:val="40"/>
        </w:numPr>
        <w:spacing w:before="150" w:after="0"/>
        <w:ind w:left="1350" w:hanging="750"/>
      </w:pPr>
      <w:r>
        <w:rPr>
          <w:rFonts w:ascii="Arial"/>
          <w:color w:val="000000"/>
          <w:sz w:val="24"/>
        </w:rPr>
        <w:t>a claimant</w:t>
      </w:r>
      <w:r>
        <w:rPr>
          <w:rFonts w:ascii="Arial"/>
          <w:color w:val="000000"/>
          <w:sz w:val="24"/>
        </w:rPr>
        <w:t xml:space="preserve"> </w:t>
      </w:r>
      <w:r>
        <w:rPr>
          <w:rFonts w:ascii="Arial"/>
          <w:color w:val="000000"/>
          <w:sz w:val="24"/>
        </w:rPr>
        <w:t>may include in a payment claim an amount that has been the subject of a previous claim</w:t>
      </w:r>
      <w:r>
        <w:rPr>
          <w:rFonts w:ascii="Arial"/>
          <w:color w:val="000000"/>
          <w:sz w:val="24"/>
        </w:rPr>
        <w:t xml:space="preserve"> </w:t>
      </w:r>
      <w:r>
        <w:rPr>
          <w:rFonts w:ascii="Arial"/>
          <w:color w:val="000000"/>
          <w:sz w:val="24"/>
        </w:rPr>
        <w:t>(s 13(6)(b)</w:t>
      </w:r>
      <w:r>
        <w:rPr>
          <w:rFonts w:ascii="Arial"/>
          <w:color w:val="000000"/>
          <w:sz w:val="24"/>
        </w:rPr>
        <w:t>)</w:t>
      </w:r>
      <w:r>
        <w:rPr>
          <w:rFonts w:ascii="Arial"/>
          <w:color w:val="000000"/>
          <w:sz w:val="24"/>
        </w:rPr>
        <w:t>;</w:t>
      </w:r>
    </w:p>
    <w:p>
      <w:pPr>
        <w:pStyle w:val="CaselawNumbered1"/>
        <w:numPr>
          <w:ilvl w:val="0"/>
          <w:numId w:val="40"/>
        </w:numPr>
        <w:spacing w:before="150" w:after="0"/>
        <w:ind w:left="1350" w:hanging="750"/>
      </w:pPr>
      <w:r>
        <w:rPr>
          <w:rFonts w:ascii="Arial"/>
          <w:color w:val="000000"/>
          <w:sz w:val="24"/>
        </w:rPr>
        <w:t>a claimant</w:t>
      </w:r>
      <w:r>
        <w:rPr>
          <w:rFonts w:ascii="Arial"/>
          <w:color w:val="000000"/>
          <w:sz w:val="24"/>
        </w:rPr>
        <w:t xml:space="preserve"> </w:t>
      </w:r>
      <w:r>
        <w:rPr>
          <w:rFonts w:ascii="Arial"/>
          <w:color w:val="000000"/>
          <w:sz w:val="24"/>
        </w:rPr>
        <w:t xml:space="preserve">may </w:t>
      </w:r>
      <w:r>
        <w:rPr>
          <w:rFonts w:ascii="Arial"/>
          <w:color w:val="000000"/>
          <w:sz w:val="24"/>
        </w:rPr>
        <w:t>serve a payment claim in a particular named month for construction work carried out or undertaken to be carried out in a previous named month (s 13(6)(c)); and</w:t>
      </w:r>
    </w:p>
    <w:p>
      <w:pPr>
        <w:pStyle w:val="CaselawNumbered1"/>
        <w:numPr>
          <w:ilvl w:val="0"/>
          <w:numId w:val="40"/>
        </w:numPr>
        <w:spacing w:before="150" w:after="0"/>
        <w:ind w:left="1350" w:hanging="750"/>
      </w:pPr>
      <w:r>
        <w:rPr>
          <w:rFonts w:ascii="Arial"/>
          <w:color w:val="000000"/>
          <w:sz w:val="24"/>
        </w:rPr>
        <w:t>there is an outer temporal limit on the service of a payment claim set by s 13(4). Such a claim may be served only within the later of the period set by the construction contract, or the period of 12 months after the construction work to which the claim relates was last carried out</w:t>
      </w:r>
      <w:r>
        <w:rPr>
          <w:rFonts w:ascii="Arial"/>
          <w:color w:val="000000"/>
          <w:sz w:val="24"/>
        </w:rPr>
        <w:t>.</w:t>
      </w:r>
    </w:p>
    <w:p>
      <w:pPr>
        <w:pStyle w:val="CaselawNumbered10"/>
        <w:numPr>
          <w:ilvl w:val="0"/>
          <w:numId w:val="41"/>
        </w:numPr>
        <w:spacing w:before="150" w:after="0"/>
        <w:ind w:left="600" w:hanging="600"/>
      </w:pPr>
      <w:r>
        <w:rPr>
          <w:rFonts w:ascii="Arial"/>
          <w:color w:val="000000"/>
          <w:sz w:val="24"/>
        </w:rPr>
        <w:t xml:space="preserve">Subsections (1A) and (1B) of s 13 were introduced by the </w:t>
      </w:r>
      <w:r>
        <w:rPr>
          <w:rFonts w:ascii="Arial"/>
          <w:i/>
          <w:color w:val="000000"/>
          <w:sz w:val="24"/>
        </w:rPr>
        <w:t>Building and Construction Industry Security of Payment Amendment Act 2018</w:t>
      </w:r>
      <w:r>
        <w:rPr>
          <w:rFonts w:ascii="Arial"/>
          <w:color w:val="000000"/>
          <w:sz w:val="24"/>
        </w:rPr>
        <w:t xml:space="preserve"> </w:t>
      </w:r>
      <w:r>
        <w:rPr>
          <w:rFonts w:ascii="Arial"/>
          <w:color w:val="000000"/>
          <w:sz w:val="24"/>
        </w:rPr>
        <w:t>(NSW)</w:t>
      </w:r>
      <w:r>
        <w:rPr>
          <w:rFonts w:ascii="Arial"/>
          <w:color w:val="000000"/>
          <w:sz w:val="24"/>
        </w:rPr>
        <w:t xml:space="preserve">. The </w:t>
      </w:r>
      <w:r>
        <w:rPr>
          <w:rFonts w:ascii="Arial"/>
          <w:color w:val="000000"/>
          <w:sz w:val="24"/>
        </w:rPr>
        <w:t>second reading speech for the Bill which became th</w:t>
      </w:r>
      <w:r>
        <w:rPr>
          <w:rFonts w:ascii="Arial"/>
          <w:color w:val="000000"/>
          <w:sz w:val="24"/>
        </w:rPr>
        <w:t>e</w:t>
      </w:r>
      <w:r>
        <w:rPr>
          <w:rFonts w:ascii="Arial"/>
          <w:color w:val="000000"/>
          <w:sz w:val="24"/>
        </w:rPr>
        <w:t xml:space="preserve"> </w:t>
      </w:r>
      <w:r>
        <w:rPr>
          <w:rFonts w:ascii="Arial"/>
          <w:color w:val="000000"/>
          <w:sz w:val="24"/>
        </w:rPr>
        <w:t xml:space="preserve">amending Act included the following </w:t>
      </w:r>
      <w:r>
        <w:rPr>
          <w:rFonts w:ascii="Arial"/>
          <w:color w:val="000000"/>
          <w:sz w:val="24"/>
        </w:rPr>
        <w:t>explanation for the introduction of subs (1A):</w:t>
      </w:r>
    </w:p>
    <w:p>
      <w:pPr>
        <w:pStyle w:val="CaselawQuote"/>
        <w:spacing w:before="150" w:after="150"/>
        <w:ind w:left="1350"/>
        <w:jc w:val="left"/>
      </w:pPr>
      <w:r>
        <w:rPr>
          <w:rFonts w:ascii="Arial"/>
          <w:color w:val="000000"/>
          <w:sz w:val="22"/>
        </w:rPr>
        <w:t xml:space="preserve">New subsection 13(1A) provides that a payment claim may be served on and from the last day of the named month in which work was carried out, or goods and services first supplied, and on and from the last day of each subsequent named month … There is a concern that respondents currently delay progress payments through contract under the current section 8(2)(a). The new section will remedy that mischief. </w:t>
      </w:r>
    </w:p>
    <w:p>
      <w:pPr>
        <w:pStyle w:val="CaselawNumbered10"/>
        <w:numPr>
          <w:ilvl w:val="0"/>
          <w:numId w:val="42"/>
        </w:numPr>
        <w:spacing w:before="150" w:after="0"/>
        <w:ind w:left="600" w:hanging="600"/>
      </w:pPr>
      <w:r>
        <w:rPr>
          <w:rFonts w:ascii="Arial"/>
          <w:color w:val="000000"/>
          <w:sz w:val="24"/>
        </w:rPr>
        <w:t xml:space="preserve">Prior to the amendments, </w:t>
      </w:r>
      <w:r>
        <w:rPr>
          <w:rFonts w:ascii="Arial"/>
          <w:color w:val="000000"/>
          <w:sz w:val="24"/>
        </w:rPr>
        <w:t xml:space="preserve">a claimant only had an entitlement </w:t>
      </w:r>
      <w:r>
        <w:rPr>
          <w:rFonts w:ascii="Arial"/>
          <w:color w:val="000000"/>
          <w:sz w:val="24"/>
        </w:rPr>
        <w:t xml:space="preserve">to a progress payment </w:t>
      </w:r>
      <w:r>
        <w:rPr>
          <w:rFonts w:ascii="Arial"/>
          <w:color w:val="000000"/>
          <w:sz w:val="24"/>
        </w:rPr>
        <w:t xml:space="preserve">under then s 8 of the </w:t>
      </w:r>
      <w:r>
        <w:rPr>
          <w:rFonts w:ascii="Arial"/>
          <w:color w:val="000000"/>
          <w:sz w:val="24"/>
        </w:rPr>
        <w:t>SOP Act</w:t>
      </w:r>
      <w:r>
        <w:rPr>
          <w:rFonts w:ascii="Arial"/>
          <w:color w:val="000000"/>
          <w:sz w:val="24"/>
        </w:rPr>
        <w:t xml:space="preserve"> </w:t>
      </w:r>
      <w:r>
        <w:rPr>
          <w:rFonts w:ascii="Arial"/>
          <w:color w:val="000000"/>
          <w:sz w:val="24"/>
        </w:rPr>
        <w:t>“</w:t>
      </w:r>
      <w:r>
        <w:rPr>
          <w:rFonts w:ascii="Arial"/>
          <w:color w:val="000000"/>
          <w:sz w:val="24"/>
        </w:rPr>
        <w:t>on and from each reference date under a construction contract</w:t>
      </w:r>
      <w:r>
        <w:rPr>
          <w:rFonts w:ascii="Arial"/>
          <w:color w:val="000000"/>
          <w:sz w:val="24"/>
        </w:rPr>
        <w:t>”</w:t>
      </w:r>
      <w:r>
        <w:rPr>
          <w:rFonts w:ascii="Arial"/>
          <w:color w:val="000000"/>
          <w:sz w:val="24"/>
        </w:rPr>
        <w:t>. Section 8(2)(a) provided that if the contract stipulated the date on which a claim for a progress payment may be made, that was the reference date for the purposes of s 8. The 2018 amendments removed the concept of a reference date. The point emphasised in the second reading speech was that the amendments to s 13</w:t>
      </w:r>
      <w:r>
        <w:rPr>
          <w:rFonts w:ascii="Arial"/>
          <w:color w:val="000000"/>
          <w:sz w:val="24"/>
        </w:rPr>
        <w:t>,</w:t>
      </w:r>
      <w:r>
        <w:rPr>
          <w:rFonts w:ascii="Arial"/>
          <w:color w:val="000000"/>
          <w:sz w:val="24"/>
        </w:rPr>
        <w:t xml:space="preserve"> </w:t>
      </w:r>
      <w:r>
        <w:rPr>
          <w:rFonts w:ascii="Arial"/>
          <w:color w:val="000000"/>
          <w:sz w:val="24"/>
        </w:rPr>
        <w:t xml:space="preserve">by permitting monthly payment claims, </w:t>
      </w:r>
      <w:r>
        <w:rPr>
          <w:rFonts w:ascii="Arial"/>
          <w:color w:val="000000"/>
          <w:sz w:val="24"/>
        </w:rPr>
        <w:t>removed the possibility of contractual restriction o</w:t>
      </w:r>
      <w:r>
        <w:rPr>
          <w:rFonts w:ascii="Arial"/>
          <w:color w:val="000000"/>
          <w:sz w:val="24"/>
        </w:rPr>
        <w:t>f</w:t>
      </w:r>
      <w:r>
        <w:rPr>
          <w:rFonts w:ascii="Arial"/>
          <w:color w:val="000000"/>
          <w:sz w:val="24"/>
        </w:rPr>
        <w:t xml:space="preserve"> </w:t>
      </w:r>
      <w:r>
        <w:rPr>
          <w:rFonts w:ascii="Arial"/>
          <w:color w:val="000000"/>
          <w:sz w:val="24"/>
        </w:rPr>
        <w:t>progress payments.</w:t>
      </w:r>
    </w:p>
    <w:p>
      <w:pPr>
        <w:pStyle w:val="CaselawNumbered10"/>
        <w:numPr>
          <w:ilvl w:val="0"/>
          <w:numId w:val="42"/>
        </w:numPr>
        <w:spacing w:before="150" w:after="0"/>
        <w:ind w:left="600" w:hanging="600"/>
      </w:pPr>
      <w:r>
        <w:rPr>
          <w:rFonts w:ascii="Arial"/>
          <w:color w:val="000000"/>
          <w:sz w:val="24"/>
        </w:rPr>
        <w:t xml:space="preserve">The new subs (1B) </w:t>
      </w:r>
      <w:r>
        <w:rPr>
          <w:rFonts w:ascii="Arial"/>
          <w:color w:val="000000"/>
          <w:sz w:val="24"/>
        </w:rPr>
        <w:t>was</w:t>
      </w:r>
      <w:r>
        <w:rPr>
          <w:rFonts w:ascii="Arial"/>
          <w:color w:val="000000"/>
          <w:sz w:val="24"/>
        </w:rPr>
        <w:t xml:space="preserve"> </w:t>
      </w:r>
      <w:r>
        <w:rPr>
          <w:rFonts w:ascii="Arial"/>
          <w:color w:val="000000"/>
          <w:sz w:val="24"/>
        </w:rPr>
        <w:t>intended to facilitate the contractual nomination of a date earlier than the end of each month for the service of payment claims, as explained in the second reading speech:</w:t>
      </w:r>
    </w:p>
    <w:p>
      <w:pPr>
        <w:pStyle w:val="CaselawQuote"/>
        <w:spacing w:before="150" w:after="150"/>
        <w:ind w:left="1350"/>
        <w:jc w:val="left"/>
      </w:pPr>
      <w:r>
        <w:rPr>
          <w:rFonts w:ascii="Arial"/>
          <w:color w:val="000000"/>
          <w:sz w:val="22"/>
        </w:rPr>
        <w:t xml:space="preserve">New subsection 13(1B) operates to preserve the contractual freedom of parties to determine a date, earlier than the last day of a named month, for the making of a payment claim. It provides that if the construction contract makes provision, specifically or otherwise, for an earlier date for the serving of a payment claim in any </w:t>
      </w:r>
      <w:r>
        <w:rPr>
          <w:rFonts w:ascii="Arial"/>
          <w:color w:val="000000"/>
          <w:sz w:val="22"/>
        </w:rPr>
        <w:t>particular named</w:t>
      </w:r>
      <w:r>
        <w:rPr>
          <w:rFonts w:ascii="Arial"/>
          <w:color w:val="000000"/>
          <w:sz w:val="22"/>
        </w:rPr>
        <w:t xml:space="preserve"> month, the claim may be served on and from that date. </w:t>
      </w:r>
    </w:p>
    <w:p>
      <w:pPr>
        <w:pStyle w:val="CaselawNumbered10"/>
        <w:numPr>
          <w:ilvl w:val="0"/>
          <w:numId w:val="43"/>
        </w:numPr>
        <w:spacing w:before="150" w:after="0"/>
        <w:ind w:left="600" w:hanging="600"/>
      </w:pPr>
      <w:r>
        <w:rPr>
          <w:rFonts w:ascii="Arial"/>
          <w:color w:val="000000"/>
          <w:sz w:val="24"/>
        </w:rPr>
        <w:t xml:space="preserve">The argument in the present case about the validity of PC3 and PC4 proceeded on the basis that before those purported claims were served work had been carried out </w:t>
      </w:r>
      <w:r>
        <w:rPr>
          <w:rFonts w:ascii="Arial"/>
          <w:color w:val="000000"/>
          <w:sz w:val="24"/>
        </w:rPr>
        <w:t xml:space="preserve">by Black Sheep </w:t>
      </w:r>
      <w:r>
        <w:rPr>
          <w:rFonts w:ascii="Arial"/>
          <w:color w:val="000000"/>
          <w:sz w:val="24"/>
        </w:rPr>
        <w:t>under the Contract and other payment claims had been served</w:t>
      </w:r>
      <w:r>
        <w:rPr>
          <w:rFonts w:ascii="Arial"/>
          <w:color w:val="000000"/>
          <w:sz w:val="24"/>
        </w:rPr>
        <w:t>.</w:t>
      </w:r>
      <w:r>
        <w:rPr>
          <w:rFonts w:ascii="Arial"/>
          <w:color w:val="000000"/>
          <w:sz w:val="24"/>
        </w:rPr>
        <w:t xml:space="preserve"> </w:t>
      </w:r>
      <w:r>
        <w:rPr>
          <w:rFonts w:ascii="Arial"/>
          <w:color w:val="000000"/>
          <w:sz w:val="24"/>
        </w:rPr>
        <w:t xml:space="preserve">In terms of the application of </w:t>
      </w:r>
      <w:r>
        <w:rPr>
          <w:rFonts w:ascii="Arial"/>
          <w:color w:val="000000"/>
          <w:sz w:val="24"/>
        </w:rPr>
        <w:t>subss</w:t>
      </w:r>
      <w:r>
        <w:rPr>
          <w:rFonts w:ascii="Arial"/>
          <w:color w:val="000000"/>
          <w:sz w:val="24"/>
        </w:rPr>
        <w:t xml:space="preserve"> </w:t>
      </w:r>
      <w:r>
        <w:rPr>
          <w:rFonts w:ascii="Arial"/>
          <w:color w:val="000000"/>
          <w:sz w:val="24"/>
        </w:rPr>
        <w:t xml:space="preserve">(1A) and (1B), </w:t>
      </w:r>
      <w:r>
        <w:rPr>
          <w:rFonts w:ascii="Arial"/>
          <w:color w:val="000000"/>
          <w:sz w:val="24"/>
        </w:rPr>
        <w:t xml:space="preserve">construction work had therefore been </w:t>
      </w:r>
      <w:r>
        <w:rPr>
          <w:rFonts w:ascii="Arial"/>
          <w:color w:val="000000"/>
          <w:sz w:val="24"/>
        </w:rPr>
        <w:t>“</w:t>
      </w:r>
      <w:r>
        <w:rPr>
          <w:rFonts w:ascii="Arial"/>
          <w:color w:val="000000"/>
          <w:sz w:val="24"/>
        </w:rPr>
        <w:t>first carried out</w:t>
      </w:r>
      <w:r>
        <w:rPr>
          <w:rFonts w:ascii="Arial"/>
          <w:color w:val="000000"/>
          <w:sz w:val="24"/>
        </w:rPr>
        <w:t xml:space="preserve">” </w:t>
      </w:r>
      <w:r>
        <w:rPr>
          <w:rFonts w:ascii="Arial"/>
          <w:color w:val="000000"/>
          <w:sz w:val="24"/>
        </w:rPr>
        <w:t xml:space="preserve">at some earlier point and Black Sheep had become entitled to serve its first payment claim from (at the latest), the last day of the month in which that work was first carried out. </w:t>
      </w:r>
    </w:p>
    <w:p>
      <w:pPr>
        <w:pStyle w:val="CaselawNumbered10"/>
        <w:numPr>
          <w:ilvl w:val="0"/>
          <w:numId w:val="43"/>
        </w:numPr>
        <w:spacing w:before="150" w:after="0"/>
        <w:ind w:left="600" w:hanging="600"/>
      </w:pPr>
      <w:r>
        <w:rPr>
          <w:rFonts w:ascii="Arial"/>
          <w:color w:val="000000"/>
          <w:sz w:val="24"/>
        </w:rPr>
        <w:t xml:space="preserve">The </w:t>
      </w:r>
      <w:r>
        <w:rPr>
          <w:rFonts w:ascii="Arial"/>
          <w:color w:val="000000"/>
          <w:sz w:val="24"/>
        </w:rPr>
        <w:t xml:space="preserve">question in the present case falls to be resolved by reference to the statutory rules governing </w:t>
      </w:r>
      <w:r>
        <w:rPr>
          <w:rFonts w:ascii="Arial"/>
          <w:color w:val="000000"/>
          <w:sz w:val="24"/>
        </w:rPr>
        <w:t xml:space="preserve">subsequent payment claims. Reading </w:t>
      </w:r>
      <w:r>
        <w:rPr>
          <w:rFonts w:ascii="Arial"/>
          <w:color w:val="000000"/>
          <w:sz w:val="24"/>
        </w:rPr>
        <w:t>subss</w:t>
      </w:r>
      <w:r>
        <w:rPr>
          <w:rFonts w:ascii="Arial"/>
          <w:color w:val="000000"/>
          <w:sz w:val="24"/>
        </w:rPr>
        <w:t xml:space="preserve"> </w:t>
      </w:r>
      <w:r>
        <w:rPr>
          <w:rFonts w:ascii="Arial"/>
          <w:color w:val="000000"/>
          <w:sz w:val="24"/>
        </w:rPr>
        <w:t xml:space="preserve">(1A) and (1B) </w:t>
      </w:r>
      <w:r>
        <w:rPr>
          <w:rFonts w:ascii="Arial"/>
          <w:color w:val="000000"/>
          <w:sz w:val="24"/>
        </w:rPr>
        <w:t xml:space="preserve">of s 13 </w:t>
      </w:r>
      <w:r>
        <w:rPr>
          <w:rFonts w:ascii="Arial"/>
          <w:color w:val="000000"/>
          <w:sz w:val="24"/>
        </w:rPr>
        <w:t xml:space="preserve">together, there are only two possibilities. If the Contract makes provision for Black Sheep to serve a payment claim in any </w:t>
      </w:r>
      <w:r>
        <w:rPr>
          <w:rFonts w:ascii="Arial"/>
          <w:color w:val="000000"/>
          <w:sz w:val="24"/>
        </w:rPr>
        <w:t>particular named</w:t>
      </w:r>
      <w:r>
        <w:rPr>
          <w:rFonts w:ascii="Arial"/>
          <w:color w:val="000000"/>
          <w:sz w:val="24"/>
        </w:rPr>
        <w:t xml:space="preserve"> </w:t>
      </w:r>
      <w:r>
        <w:rPr>
          <w:rFonts w:ascii="Arial"/>
          <w:color w:val="000000"/>
          <w:sz w:val="24"/>
        </w:rPr>
        <w:t xml:space="preserve">month at a date earlier than the end of the month, then Black Sheep was entitled to serve a payment claim </w:t>
      </w:r>
      <w:r>
        <w:rPr>
          <w:rFonts w:ascii="Arial"/>
          <w:color w:val="000000"/>
          <w:sz w:val="24"/>
        </w:rPr>
        <w:t>“</w:t>
      </w:r>
      <w:r>
        <w:rPr>
          <w:rFonts w:ascii="Arial"/>
          <w:color w:val="000000"/>
          <w:sz w:val="24"/>
        </w:rPr>
        <w:t>on and from</w:t>
      </w:r>
      <w:r>
        <w:rPr>
          <w:rFonts w:ascii="Arial"/>
          <w:color w:val="000000"/>
          <w:sz w:val="24"/>
        </w:rPr>
        <w:t>”</w:t>
      </w:r>
      <w:r>
        <w:rPr>
          <w:rFonts w:ascii="Arial"/>
          <w:color w:val="000000"/>
          <w:sz w:val="24"/>
        </w:rPr>
        <w:t xml:space="preserve"> </w:t>
      </w:r>
      <w:r>
        <w:rPr>
          <w:rFonts w:ascii="Arial"/>
          <w:color w:val="000000"/>
          <w:sz w:val="24"/>
        </w:rPr>
        <w:t>that date: s 13(1B). If the Contract does not make such provision, then the default position applies</w:t>
      </w:r>
      <w:r>
        <w:rPr>
          <w:rFonts w:ascii="Arial"/>
          <w:color w:val="000000"/>
          <w:sz w:val="24"/>
        </w:rPr>
        <w:t>, and Black Sheep was entitled to serve a payment claim on and from the last day of each month: s 13(1A).</w:t>
      </w:r>
    </w:p>
    <w:p>
      <w:pPr>
        <w:pStyle w:val="CaselawNumbered10"/>
        <w:numPr>
          <w:ilvl w:val="0"/>
          <w:numId w:val="43"/>
        </w:numPr>
        <w:spacing w:before="150" w:after="0"/>
        <w:ind w:left="600" w:hanging="600"/>
      </w:pPr>
      <w:r>
        <w:rPr>
          <w:rFonts w:ascii="Arial"/>
          <w:color w:val="000000"/>
          <w:sz w:val="24"/>
        </w:rPr>
        <w:t xml:space="preserve">The provisions of the Contract bearing on the service of payment claims are described above. Those provisions </w:t>
      </w:r>
      <w:r>
        <w:rPr>
          <w:rFonts w:ascii="Arial"/>
          <w:color w:val="000000"/>
          <w:sz w:val="24"/>
        </w:rPr>
        <w:t>permit</w:t>
      </w:r>
      <w:r>
        <w:rPr>
          <w:rFonts w:ascii="Arial"/>
          <w:color w:val="000000"/>
          <w:sz w:val="24"/>
        </w:rPr>
        <w:t xml:space="preserve"> </w:t>
      </w:r>
      <w:r>
        <w:rPr>
          <w:rFonts w:ascii="Arial"/>
          <w:color w:val="000000"/>
          <w:sz w:val="24"/>
        </w:rPr>
        <w:t>(and require) Black Sheep to serve payment claims earlier than the last day of each month. The same provisions also impose obligations on Portelli as to the payment of such claims</w:t>
      </w:r>
      <w:r>
        <w:rPr>
          <w:rFonts w:ascii="Arial"/>
          <w:color w:val="000000"/>
          <w:sz w:val="24"/>
        </w:rPr>
        <w:t>, when served in accordance with the contractual timeframes</w:t>
      </w:r>
      <w:r>
        <w:rPr>
          <w:rFonts w:ascii="Arial"/>
          <w:color w:val="000000"/>
          <w:sz w:val="24"/>
        </w:rPr>
        <w:t xml:space="preserve">. The focus for present purposes is </w:t>
      </w:r>
      <w:r>
        <w:rPr>
          <w:rFonts w:ascii="Arial"/>
          <w:color w:val="000000"/>
          <w:sz w:val="24"/>
        </w:rPr>
        <w:t xml:space="preserve">on </w:t>
      </w:r>
      <w:r>
        <w:rPr>
          <w:rFonts w:ascii="Arial"/>
          <w:color w:val="000000"/>
          <w:sz w:val="24"/>
        </w:rPr>
        <w:t>the first aspect of these provisions</w:t>
      </w:r>
      <w:r>
        <w:rPr>
          <w:rFonts w:ascii="Arial"/>
          <w:color w:val="000000"/>
          <w:sz w:val="24"/>
        </w:rPr>
        <w:t xml:space="preserve">, and how they interact with the </w:t>
      </w:r>
      <w:r>
        <w:rPr>
          <w:rFonts w:ascii="Arial"/>
          <w:color w:val="000000"/>
          <w:sz w:val="24"/>
        </w:rPr>
        <w:t>SOP Act</w:t>
      </w:r>
      <w:r>
        <w:rPr>
          <w:rFonts w:ascii="Arial"/>
          <w:color w:val="000000"/>
          <w:sz w:val="24"/>
        </w:rPr>
        <w:t xml:space="preserve">. Under </w:t>
      </w:r>
      <w:r>
        <w:rPr>
          <w:rFonts w:ascii="Arial"/>
          <w:color w:val="000000"/>
          <w:sz w:val="24"/>
        </w:rPr>
        <w:t xml:space="preserve">the general condition, </w:t>
      </w:r>
      <w:r>
        <w:rPr>
          <w:rFonts w:ascii="Arial"/>
          <w:color w:val="000000"/>
          <w:sz w:val="24"/>
        </w:rPr>
        <w:t>cl</w:t>
      </w:r>
      <w:r>
        <w:rPr>
          <w:rFonts w:ascii="Arial"/>
          <w:color w:val="000000"/>
          <w:sz w:val="24"/>
        </w:rPr>
        <w:t> (c) of Sch 2</w:t>
      </w:r>
      <w:r>
        <w:rPr>
          <w:rFonts w:ascii="Arial"/>
          <w:color w:val="000000"/>
          <w:sz w:val="24"/>
        </w:rPr>
        <w:t>,</w:t>
      </w:r>
      <w:r>
        <w:rPr>
          <w:rFonts w:ascii="Arial"/>
          <w:color w:val="000000"/>
          <w:sz w:val="24"/>
        </w:rPr>
        <w:t xml:space="preserve"> </w:t>
      </w:r>
      <w:r>
        <w:rPr>
          <w:rFonts w:ascii="Arial"/>
          <w:color w:val="000000"/>
          <w:sz w:val="24"/>
        </w:rPr>
        <w:t xml:space="preserve">the </w:t>
      </w:r>
      <w:r>
        <w:rPr>
          <w:rFonts w:ascii="Arial"/>
          <w:color w:val="000000"/>
          <w:sz w:val="24"/>
        </w:rPr>
        <w:t>“</w:t>
      </w:r>
      <w:r>
        <w:rPr>
          <w:rFonts w:ascii="Arial"/>
          <w:color w:val="000000"/>
          <w:sz w:val="24"/>
        </w:rPr>
        <w:t>due date</w:t>
      </w:r>
      <w:r>
        <w:rPr>
          <w:rFonts w:ascii="Arial"/>
          <w:color w:val="000000"/>
          <w:sz w:val="24"/>
        </w:rPr>
        <w:t xml:space="preserve">” </w:t>
      </w:r>
      <w:r>
        <w:rPr>
          <w:rFonts w:ascii="Arial"/>
          <w:color w:val="000000"/>
          <w:sz w:val="24"/>
        </w:rPr>
        <w:t>for payment claims is on or before the 21</w:t>
      </w:r>
      <w:r>
        <w:rPr>
          <w:rFonts w:ascii="Arial"/>
          <w:color w:val="000000"/>
          <w:sz w:val="24"/>
        </w:rPr>
        <w:t>st</w:t>
      </w:r>
      <w:r>
        <w:rPr>
          <w:rFonts w:ascii="Arial"/>
          <w:color w:val="000000"/>
          <w:sz w:val="24"/>
        </w:rPr>
        <w:t xml:space="preserve"> </w:t>
      </w:r>
      <w:r>
        <w:rPr>
          <w:rFonts w:ascii="Arial"/>
          <w:color w:val="000000"/>
          <w:sz w:val="24"/>
        </w:rPr>
        <w:t xml:space="preserve">day of the month. However, where the Owner has </w:t>
      </w:r>
      <w:r>
        <w:rPr>
          <w:rFonts w:ascii="Arial"/>
          <w:color w:val="000000"/>
          <w:sz w:val="24"/>
        </w:rPr>
        <w:t>taken up</w:t>
      </w:r>
      <w:r>
        <w:rPr>
          <w:rFonts w:ascii="Arial"/>
          <w:color w:val="000000"/>
          <w:sz w:val="24"/>
        </w:rPr>
        <w:t xml:space="preserve"> </w:t>
      </w:r>
      <w:r>
        <w:rPr>
          <w:rFonts w:ascii="Arial"/>
          <w:color w:val="000000"/>
          <w:sz w:val="24"/>
        </w:rPr>
        <w:t>the option of using a quantity surveyor, the applicable special condition in Sch 6 applie</w:t>
      </w:r>
      <w:r>
        <w:rPr>
          <w:rFonts w:ascii="Arial"/>
          <w:color w:val="000000"/>
          <w:sz w:val="24"/>
        </w:rPr>
        <w:t>s</w:t>
      </w:r>
      <w:r>
        <w:rPr>
          <w:rFonts w:ascii="Arial"/>
          <w:color w:val="000000"/>
          <w:sz w:val="24"/>
        </w:rPr>
        <w:t>, with the consequence that the Builder</w:t>
      </w:r>
      <w:r>
        <w:rPr>
          <w:rFonts w:ascii="Arial"/>
          <w:color w:val="000000"/>
          <w:sz w:val="24"/>
        </w:rPr>
        <w:t>’</w:t>
      </w:r>
      <w:r>
        <w:rPr>
          <w:rFonts w:ascii="Arial"/>
          <w:color w:val="000000"/>
          <w:sz w:val="24"/>
        </w:rPr>
        <w:t>s Payment Claims are required to be submitted on the 21</w:t>
      </w:r>
      <w:r>
        <w:rPr>
          <w:rFonts w:ascii="Arial"/>
          <w:color w:val="000000"/>
          <w:sz w:val="24"/>
        </w:rPr>
        <w:t>st</w:t>
      </w:r>
      <w:r>
        <w:rPr>
          <w:rFonts w:ascii="Arial"/>
          <w:color w:val="000000"/>
          <w:sz w:val="24"/>
        </w:rPr>
        <w:t xml:space="preserve"> </w:t>
      </w:r>
      <w:r>
        <w:rPr>
          <w:rFonts w:ascii="Arial"/>
          <w:color w:val="000000"/>
          <w:sz w:val="24"/>
        </w:rPr>
        <w:t>day of each month. Portelli has evidently taken up the option to use a quantity surveyor under the Contract. This is reflected in Black Sheep charging $5</w:t>
      </w:r>
      <w:r>
        <w:rPr>
          <w:rFonts w:ascii="Arial"/>
          <w:color w:val="000000"/>
          <w:sz w:val="24"/>
        </w:rPr>
        <w:t>,</w:t>
      </w:r>
      <w:r>
        <w:rPr>
          <w:rFonts w:ascii="Arial"/>
          <w:color w:val="000000"/>
          <w:sz w:val="24"/>
        </w:rPr>
        <w:t xml:space="preserve">500.00 for its claims to reflect the cost of the claim being prepared and assessed by the quantity surveyor, as Black Sheep is entitled to do under the special conditions where the Owner </w:t>
      </w:r>
      <w:r>
        <w:rPr>
          <w:rFonts w:ascii="Arial"/>
          <w:color w:val="000000"/>
          <w:sz w:val="24"/>
        </w:rPr>
        <w:t>uses a quantity surveyor</w:t>
      </w:r>
      <w:r>
        <w:rPr>
          <w:rFonts w:ascii="Arial"/>
          <w:color w:val="000000"/>
          <w:sz w:val="24"/>
        </w:rPr>
        <w:t xml:space="preserve">. </w:t>
      </w:r>
      <w:r>
        <w:rPr>
          <w:rFonts w:ascii="Arial"/>
          <w:color w:val="000000"/>
          <w:sz w:val="24"/>
        </w:rPr>
        <w:t xml:space="preserve">Black Sheep was therefore permitted by the special conditions of the </w:t>
      </w:r>
      <w:r>
        <w:rPr>
          <w:rFonts w:ascii="Arial"/>
          <w:color w:val="000000"/>
          <w:sz w:val="24"/>
        </w:rPr>
        <w:t>C</w:t>
      </w:r>
      <w:r>
        <w:rPr>
          <w:rFonts w:ascii="Arial"/>
          <w:color w:val="000000"/>
          <w:sz w:val="24"/>
        </w:rPr>
        <w:t>ontract to submit a payment claim on the 21</w:t>
      </w:r>
      <w:r>
        <w:rPr>
          <w:rFonts w:ascii="Arial"/>
          <w:color w:val="000000"/>
          <w:sz w:val="24"/>
        </w:rPr>
        <w:t>st</w:t>
      </w:r>
      <w:r>
        <w:rPr>
          <w:rFonts w:ascii="Arial"/>
          <w:color w:val="000000"/>
          <w:sz w:val="24"/>
        </w:rPr>
        <w:t xml:space="preserve"> </w:t>
      </w:r>
      <w:r>
        <w:rPr>
          <w:rFonts w:ascii="Arial"/>
          <w:color w:val="000000"/>
          <w:sz w:val="24"/>
        </w:rPr>
        <w:t xml:space="preserve">day of each month (and </w:t>
      </w:r>
      <w:r>
        <w:rPr>
          <w:rFonts w:ascii="Arial"/>
          <w:color w:val="000000"/>
          <w:sz w:val="24"/>
        </w:rPr>
        <w:t xml:space="preserve">was contractually </w:t>
      </w:r>
      <w:r>
        <w:rPr>
          <w:rFonts w:ascii="Arial"/>
          <w:color w:val="000000"/>
          <w:sz w:val="24"/>
        </w:rPr>
        <w:t>required to do so).</w:t>
      </w:r>
    </w:p>
    <w:p>
      <w:pPr>
        <w:pStyle w:val="CaselawNumbered10"/>
        <w:numPr>
          <w:ilvl w:val="0"/>
          <w:numId w:val="43"/>
        </w:numPr>
        <w:spacing w:before="150" w:after="0"/>
        <w:ind w:left="600" w:hanging="600"/>
      </w:pPr>
      <w:r>
        <w:rPr>
          <w:rFonts w:ascii="Arial"/>
          <w:color w:val="000000"/>
          <w:sz w:val="24"/>
        </w:rPr>
        <w:t xml:space="preserve">Portelli argued that for the purposes of s 13(1B) of the </w:t>
      </w:r>
      <w:r>
        <w:rPr>
          <w:rFonts w:ascii="Arial"/>
          <w:color w:val="000000"/>
          <w:sz w:val="24"/>
        </w:rPr>
        <w:t>SOP Act</w:t>
      </w:r>
      <w:r>
        <w:rPr>
          <w:rFonts w:ascii="Arial"/>
          <w:i/>
          <w:color w:val="000000"/>
          <w:sz w:val="24"/>
        </w:rPr>
        <w:t xml:space="preserve"> </w:t>
      </w:r>
      <w:r>
        <w:rPr>
          <w:rFonts w:ascii="Arial"/>
          <w:color w:val="000000"/>
          <w:sz w:val="24"/>
        </w:rPr>
        <w:t xml:space="preserve">the Contract did not, by the special condition in Sch 6, make provision </w:t>
      </w:r>
      <w:r>
        <w:rPr>
          <w:rFonts w:ascii="Arial"/>
          <w:color w:val="000000"/>
          <w:sz w:val="24"/>
        </w:rPr>
        <w:t>“</w:t>
      </w:r>
      <w:r>
        <w:rPr>
          <w:rFonts w:ascii="Arial"/>
          <w:color w:val="000000"/>
          <w:sz w:val="24"/>
        </w:rPr>
        <w:t>for an earlier date for the serving of a payment claim in any particular named month</w:t>
      </w:r>
      <w:r>
        <w:rPr>
          <w:rFonts w:ascii="Arial"/>
          <w:color w:val="000000"/>
          <w:sz w:val="24"/>
        </w:rPr>
        <w:t>”</w:t>
      </w:r>
      <w:r>
        <w:rPr>
          <w:rFonts w:ascii="Arial"/>
          <w:color w:val="000000"/>
          <w:sz w:val="24"/>
        </w:rPr>
        <w:t xml:space="preserve">, because the special condition was </w:t>
      </w:r>
      <w:r>
        <w:rPr>
          <w:rFonts w:ascii="Arial"/>
          <w:color w:val="000000"/>
          <w:sz w:val="24"/>
        </w:rPr>
        <w:t xml:space="preserve">conditional. It was </w:t>
      </w:r>
      <w:r>
        <w:rPr>
          <w:rFonts w:ascii="Arial"/>
          <w:color w:val="000000"/>
          <w:sz w:val="24"/>
        </w:rPr>
        <w:t xml:space="preserve">only engaged </w:t>
      </w:r>
      <w:r>
        <w:rPr>
          <w:rFonts w:ascii="Arial"/>
          <w:color w:val="000000"/>
          <w:sz w:val="24"/>
        </w:rPr>
        <w:t>if and when</w:t>
      </w:r>
      <w:r>
        <w:rPr>
          <w:rFonts w:ascii="Arial"/>
          <w:color w:val="000000"/>
          <w:sz w:val="24"/>
        </w:rPr>
        <w:t xml:space="preserve"> </w:t>
      </w:r>
      <w:r>
        <w:rPr>
          <w:rFonts w:ascii="Arial"/>
          <w:color w:val="000000"/>
          <w:sz w:val="24"/>
        </w:rPr>
        <w:t xml:space="preserve">Portelli took up the option of using a quantity surveyor to assess payment claims. That argument must be rejected. The fact that the contractual specification of a date for service of a payment claim is conditional, in this case on the </w:t>
      </w:r>
      <w:r>
        <w:rPr>
          <w:rFonts w:ascii="Arial"/>
          <w:color w:val="000000"/>
          <w:sz w:val="24"/>
        </w:rPr>
        <w:t xml:space="preserve">choice of the Owner to use a quantity surveyor, is neither here nor there when it comes to the application of s 13(1B) of the </w:t>
      </w:r>
      <w:r>
        <w:rPr>
          <w:rFonts w:ascii="Arial"/>
          <w:color w:val="000000"/>
          <w:sz w:val="24"/>
        </w:rPr>
        <w:t>SOP Act</w:t>
      </w:r>
      <w:r>
        <w:rPr>
          <w:rFonts w:ascii="Arial"/>
          <w:color w:val="000000"/>
          <w:sz w:val="24"/>
        </w:rPr>
        <w:t xml:space="preserve">. The point is simply that where the condition was satisfied, as it was here, the </w:t>
      </w:r>
      <w:r>
        <w:rPr>
          <w:rFonts w:ascii="Arial"/>
          <w:color w:val="000000"/>
          <w:sz w:val="24"/>
        </w:rPr>
        <w:t>C</w:t>
      </w:r>
      <w:r>
        <w:rPr>
          <w:rFonts w:ascii="Arial"/>
          <w:color w:val="000000"/>
          <w:sz w:val="24"/>
        </w:rPr>
        <w:t xml:space="preserve">ontract did relevantly make provision for an earlier date for service. </w:t>
      </w:r>
      <w:r>
        <w:rPr>
          <w:rFonts w:ascii="Arial"/>
          <w:color w:val="000000"/>
          <w:sz w:val="24"/>
        </w:rPr>
        <w:t>Indeed</w:t>
      </w:r>
      <w:r>
        <w:rPr>
          <w:rFonts w:ascii="Arial"/>
          <w:color w:val="000000"/>
          <w:sz w:val="24"/>
        </w:rPr>
        <w:t xml:space="preserve"> </w:t>
      </w:r>
      <w:r>
        <w:rPr>
          <w:rFonts w:ascii="Arial"/>
          <w:color w:val="000000"/>
          <w:sz w:val="24"/>
        </w:rPr>
        <w:t xml:space="preserve">where the condition was satisfied Black Sheep was contractually obliged to </w:t>
      </w:r>
      <w:r>
        <w:rPr>
          <w:rFonts w:ascii="Arial"/>
          <w:color w:val="000000"/>
          <w:sz w:val="24"/>
        </w:rPr>
        <w:t>submit</w:t>
      </w:r>
      <w:r>
        <w:rPr>
          <w:rFonts w:ascii="Arial"/>
          <w:color w:val="000000"/>
          <w:sz w:val="24"/>
        </w:rPr>
        <w:t xml:space="preserve"> </w:t>
      </w:r>
      <w:r>
        <w:rPr>
          <w:rFonts w:ascii="Arial"/>
          <w:color w:val="000000"/>
          <w:sz w:val="24"/>
        </w:rPr>
        <w:t>payment claims on the quantity surveyor on the 21</w:t>
      </w:r>
      <w:r>
        <w:rPr>
          <w:rFonts w:ascii="Arial"/>
          <w:color w:val="000000"/>
          <w:sz w:val="24"/>
        </w:rPr>
        <w:t>st</w:t>
      </w:r>
      <w:r>
        <w:rPr>
          <w:rFonts w:ascii="Arial"/>
          <w:color w:val="000000"/>
          <w:sz w:val="24"/>
        </w:rPr>
        <w:t xml:space="preserve"> </w:t>
      </w:r>
      <w:r>
        <w:rPr>
          <w:rFonts w:ascii="Arial"/>
          <w:color w:val="000000"/>
          <w:sz w:val="24"/>
        </w:rPr>
        <w:t xml:space="preserve">day of the month. </w:t>
      </w:r>
    </w:p>
    <w:p>
      <w:pPr>
        <w:pStyle w:val="CaselawNumbered10"/>
        <w:numPr>
          <w:ilvl w:val="0"/>
          <w:numId w:val="43"/>
        </w:numPr>
        <w:spacing w:before="150" w:after="0"/>
        <w:ind w:left="600" w:hanging="600"/>
      </w:pPr>
      <w:r>
        <w:rPr>
          <w:rFonts w:ascii="Arial"/>
          <w:color w:val="000000"/>
          <w:sz w:val="24"/>
        </w:rPr>
        <w:t xml:space="preserve">Portelli did not explain in its submissions why s 13(1B) should be read as engaging with unconditional contractual provisions, but not conditional contractual provisions. Both kinds of contractual provisions are equally apt to have the same consequence of identifying the permitted date for service of payment claims. To pick up the point regarding contractual freedom, as alluded to in the second reading speech for the Bill that introduced subs (1B), respecting both conditional and unconditional contractual provisions gives effect to the contractual choices made by the parties. </w:t>
      </w:r>
    </w:p>
    <w:p>
      <w:pPr>
        <w:pStyle w:val="CaselawNumbered10"/>
        <w:numPr>
          <w:ilvl w:val="0"/>
          <w:numId w:val="43"/>
        </w:numPr>
        <w:spacing w:before="150" w:after="0"/>
        <w:ind w:left="600" w:hanging="600"/>
      </w:pPr>
      <w:r>
        <w:rPr>
          <w:rFonts w:ascii="Arial"/>
          <w:color w:val="000000"/>
          <w:sz w:val="24"/>
        </w:rPr>
        <w:t xml:space="preserve">The Contract </w:t>
      </w:r>
      <w:r>
        <w:rPr>
          <w:rFonts w:ascii="Arial"/>
          <w:color w:val="000000"/>
          <w:sz w:val="24"/>
        </w:rPr>
        <w:t xml:space="preserve">therefore </w:t>
      </w:r>
      <w:r>
        <w:rPr>
          <w:rFonts w:ascii="Arial"/>
          <w:color w:val="000000"/>
          <w:sz w:val="24"/>
        </w:rPr>
        <w:t xml:space="preserve">does </w:t>
      </w:r>
      <w:r>
        <w:rPr>
          <w:rFonts w:ascii="Arial"/>
          <w:color w:val="000000"/>
          <w:sz w:val="24"/>
        </w:rPr>
        <w:t>make provision for a payment claim</w:t>
      </w:r>
      <w:r>
        <w:rPr>
          <w:rFonts w:ascii="Arial"/>
          <w:color w:val="000000"/>
          <w:sz w:val="24"/>
        </w:rPr>
        <w:t xml:space="preserve"> </w:t>
      </w:r>
      <w:r>
        <w:rPr>
          <w:rFonts w:ascii="Arial"/>
          <w:color w:val="000000"/>
          <w:sz w:val="24"/>
        </w:rPr>
        <w:t xml:space="preserve">to be served on a date earlier than the last day of </w:t>
      </w:r>
      <w:r>
        <w:rPr>
          <w:rFonts w:ascii="Arial"/>
          <w:color w:val="000000"/>
          <w:sz w:val="24"/>
        </w:rPr>
        <w:t>the</w:t>
      </w:r>
      <w:r>
        <w:rPr>
          <w:rFonts w:ascii="Arial"/>
          <w:color w:val="000000"/>
          <w:sz w:val="24"/>
        </w:rPr>
        <w:t xml:space="preserve"> </w:t>
      </w:r>
      <w:r>
        <w:rPr>
          <w:rFonts w:ascii="Arial"/>
          <w:color w:val="000000"/>
          <w:sz w:val="24"/>
        </w:rPr>
        <w:t>month, being the 21</w:t>
      </w:r>
      <w:r>
        <w:rPr>
          <w:rFonts w:ascii="Arial"/>
          <w:color w:val="000000"/>
          <w:sz w:val="24"/>
        </w:rPr>
        <w:t>st</w:t>
      </w:r>
      <w:r>
        <w:rPr>
          <w:rFonts w:ascii="Arial"/>
          <w:color w:val="000000"/>
          <w:sz w:val="24"/>
        </w:rPr>
        <w:t xml:space="preserve"> </w:t>
      </w:r>
      <w:r>
        <w:rPr>
          <w:rFonts w:ascii="Arial"/>
          <w:color w:val="000000"/>
          <w:sz w:val="24"/>
        </w:rPr>
        <w:t xml:space="preserve">day of </w:t>
      </w:r>
      <w:r>
        <w:rPr>
          <w:rFonts w:ascii="Arial"/>
          <w:color w:val="000000"/>
          <w:sz w:val="24"/>
        </w:rPr>
        <w:t>each</w:t>
      </w:r>
      <w:r>
        <w:rPr>
          <w:rFonts w:ascii="Arial"/>
          <w:color w:val="000000"/>
          <w:sz w:val="24"/>
        </w:rPr>
        <w:t xml:space="preserve"> </w:t>
      </w:r>
      <w:r>
        <w:rPr>
          <w:rFonts w:ascii="Arial"/>
          <w:color w:val="000000"/>
          <w:sz w:val="24"/>
        </w:rPr>
        <w:t>month. The statutory consequence flowing from s</w:t>
      </w:r>
      <w:r>
        <w:rPr>
          <w:rFonts w:ascii="Arial"/>
          <w:color w:val="000000"/>
          <w:sz w:val="24"/>
        </w:rPr>
        <w:t xml:space="preserve"> 13(1B) is that in any month Black Sheep is entitled to serve a payment claim </w:t>
      </w:r>
      <w:r>
        <w:rPr>
          <w:rFonts w:ascii="Arial"/>
          <w:color w:val="000000"/>
          <w:sz w:val="24"/>
        </w:rPr>
        <w:t>“</w:t>
      </w:r>
      <w:r>
        <w:rPr>
          <w:rFonts w:ascii="Arial"/>
          <w:color w:val="000000"/>
          <w:sz w:val="24"/>
        </w:rPr>
        <w:t>on and from</w:t>
      </w:r>
      <w:r>
        <w:rPr>
          <w:rFonts w:ascii="Arial"/>
          <w:color w:val="000000"/>
          <w:sz w:val="24"/>
        </w:rPr>
        <w:t xml:space="preserve">” </w:t>
      </w:r>
      <w:r>
        <w:rPr>
          <w:rFonts w:ascii="Arial"/>
          <w:color w:val="000000"/>
          <w:sz w:val="24"/>
        </w:rPr>
        <w:t>the 21</w:t>
      </w:r>
      <w:r>
        <w:rPr>
          <w:rFonts w:ascii="Arial"/>
          <w:color w:val="000000"/>
          <w:sz w:val="24"/>
        </w:rPr>
        <w:t>st</w:t>
      </w:r>
      <w:r>
        <w:rPr>
          <w:rFonts w:ascii="Arial"/>
          <w:color w:val="000000"/>
          <w:sz w:val="24"/>
        </w:rPr>
        <w:t xml:space="preserve"> </w:t>
      </w:r>
      <w:r>
        <w:rPr>
          <w:rFonts w:ascii="Arial"/>
          <w:color w:val="000000"/>
          <w:sz w:val="24"/>
        </w:rPr>
        <w:t>day of the month.</w:t>
      </w:r>
      <w:r>
        <w:rPr>
          <w:rFonts w:ascii="Arial"/>
          <w:color w:val="000000"/>
          <w:sz w:val="24"/>
        </w:rPr>
        <w:t xml:space="preserve"> </w:t>
      </w:r>
    </w:p>
    <w:p>
      <w:pPr>
        <w:pStyle w:val="CaselawNumbered10"/>
        <w:numPr>
          <w:ilvl w:val="0"/>
          <w:numId w:val="43"/>
        </w:numPr>
        <w:spacing w:before="150" w:after="0"/>
        <w:ind w:left="600" w:hanging="600"/>
      </w:pPr>
      <w:r>
        <w:rPr>
          <w:rFonts w:ascii="Arial"/>
          <w:color w:val="000000"/>
          <w:sz w:val="24"/>
        </w:rPr>
        <w:t xml:space="preserve">PC3 was a claim in respect of work spanning the period from 22 July 2025 to 21 August 2025. Black Sheep was entitled to serve a claim in respect of such work </w:t>
      </w:r>
      <w:r>
        <w:rPr>
          <w:rFonts w:ascii="Arial"/>
          <w:color w:val="000000"/>
          <w:sz w:val="24"/>
        </w:rPr>
        <w:t>“</w:t>
      </w:r>
      <w:r>
        <w:rPr>
          <w:rFonts w:ascii="Arial"/>
          <w:color w:val="000000"/>
          <w:sz w:val="24"/>
        </w:rPr>
        <w:t>on and from</w:t>
      </w:r>
      <w:r>
        <w:rPr>
          <w:rFonts w:ascii="Arial"/>
          <w:color w:val="000000"/>
          <w:sz w:val="24"/>
        </w:rPr>
        <w:t xml:space="preserve">” </w:t>
      </w:r>
      <w:r>
        <w:rPr>
          <w:rFonts w:ascii="Arial"/>
          <w:color w:val="000000"/>
          <w:sz w:val="24"/>
        </w:rPr>
        <w:t>the 21</w:t>
      </w:r>
      <w:r>
        <w:rPr>
          <w:rFonts w:ascii="Arial"/>
          <w:color w:val="000000"/>
          <w:sz w:val="24"/>
        </w:rPr>
        <w:t>st</w:t>
      </w:r>
      <w:r>
        <w:rPr>
          <w:rFonts w:ascii="Arial"/>
          <w:color w:val="000000"/>
          <w:sz w:val="24"/>
        </w:rPr>
        <w:t xml:space="preserve"> </w:t>
      </w:r>
      <w:r>
        <w:rPr>
          <w:rFonts w:ascii="Arial"/>
          <w:color w:val="000000"/>
          <w:sz w:val="24"/>
        </w:rPr>
        <w:t xml:space="preserve">day of August. It did so by serving a claim on that day. </w:t>
      </w:r>
      <w:r>
        <w:rPr>
          <w:rFonts w:ascii="Arial"/>
          <w:color w:val="000000"/>
          <w:sz w:val="24"/>
        </w:rPr>
        <w:t xml:space="preserve">Consistently with s 13(5), Black Sheep was entitled to include within that claim construction work carried out in August. </w:t>
      </w:r>
      <w:r>
        <w:rPr>
          <w:rFonts w:ascii="Arial"/>
          <w:color w:val="000000"/>
          <w:sz w:val="24"/>
        </w:rPr>
        <w:t xml:space="preserve">The fact that the claim </w:t>
      </w:r>
      <w:r>
        <w:rPr>
          <w:rFonts w:ascii="Arial"/>
          <w:color w:val="000000"/>
          <w:sz w:val="24"/>
        </w:rPr>
        <w:t xml:space="preserve">also </w:t>
      </w:r>
      <w:r>
        <w:rPr>
          <w:rFonts w:ascii="Arial"/>
          <w:color w:val="000000"/>
          <w:sz w:val="24"/>
        </w:rPr>
        <w:t>incorporated work performed in the previous month of July is not problematic. A payment claim in a particular named month may include a claim in respect of construction work carried out or undertaken to be carried out in a previous named month: s 13(6)(c).</w:t>
      </w:r>
    </w:p>
    <w:p>
      <w:pPr>
        <w:pStyle w:val="CaselawNumbered10"/>
        <w:numPr>
          <w:ilvl w:val="0"/>
          <w:numId w:val="43"/>
        </w:numPr>
        <w:spacing w:before="150" w:after="0"/>
        <w:ind w:left="600" w:hanging="600"/>
      </w:pPr>
      <w:r>
        <w:rPr>
          <w:rFonts w:ascii="Arial"/>
          <w:color w:val="000000"/>
          <w:sz w:val="24"/>
        </w:rPr>
        <w:t xml:space="preserve">Portelli sought to </w:t>
      </w:r>
      <w:r>
        <w:rPr>
          <w:rFonts w:ascii="Arial"/>
          <w:color w:val="000000"/>
          <w:sz w:val="24"/>
        </w:rPr>
        <w:t>attach significance to the fact that</w:t>
      </w:r>
      <w:r>
        <w:rPr>
          <w:rFonts w:ascii="Arial"/>
          <w:color w:val="000000"/>
          <w:sz w:val="24"/>
        </w:rPr>
        <w:t>, on its reading,</w:t>
      </w:r>
      <w:r>
        <w:rPr>
          <w:rFonts w:ascii="Arial"/>
          <w:color w:val="000000"/>
          <w:sz w:val="24"/>
        </w:rPr>
        <w:t xml:space="preserve"> </w:t>
      </w:r>
      <w:r>
        <w:rPr>
          <w:rFonts w:ascii="Arial"/>
          <w:color w:val="000000"/>
          <w:sz w:val="24"/>
        </w:rPr>
        <w:t xml:space="preserve">PC3 did not specify precisely which work was carried out on </w:t>
      </w:r>
      <w:r>
        <w:rPr>
          <w:rFonts w:ascii="Arial"/>
          <w:color w:val="000000"/>
          <w:sz w:val="24"/>
        </w:rPr>
        <w:t>particular</w:t>
      </w:r>
      <w:r>
        <w:rPr>
          <w:rFonts w:ascii="Arial"/>
          <w:color w:val="000000"/>
          <w:sz w:val="24"/>
        </w:rPr>
        <w:t xml:space="preserve"> </w:t>
      </w:r>
      <w:r>
        <w:rPr>
          <w:rFonts w:ascii="Arial"/>
          <w:color w:val="000000"/>
          <w:sz w:val="24"/>
        </w:rPr>
        <w:t>dates</w:t>
      </w:r>
      <w:r>
        <w:rPr>
          <w:rFonts w:ascii="Arial"/>
          <w:color w:val="000000"/>
          <w:sz w:val="24"/>
        </w:rPr>
        <w:t>. Portelli accept</w:t>
      </w:r>
      <w:r>
        <w:rPr>
          <w:rFonts w:ascii="Arial"/>
          <w:color w:val="000000"/>
          <w:sz w:val="24"/>
        </w:rPr>
        <w:t>ed</w:t>
      </w:r>
      <w:r>
        <w:rPr>
          <w:rFonts w:ascii="Arial"/>
          <w:color w:val="000000"/>
          <w:sz w:val="24"/>
        </w:rPr>
        <w:t xml:space="preserve"> </w:t>
      </w:r>
      <w:r>
        <w:rPr>
          <w:rFonts w:ascii="Arial"/>
          <w:color w:val="000000"/>
          <w:sz w:val="24"/>
        </w:rPr>
        <w:t>that, reading the documents accompanying PC3 together, the claim was in respect of identified work spanning the period from 22 July 2025 to 21</w:t>
      </w:r>
      <w:r>
        <w:rPr>
          <w:rFonts w:ascii="Arial"/>
          <w:color w:val="000000"/>
          <w:sz w:val="24"/>
        </w:rPr>
        <w:t> </w:t>
      </w:r>
      <w:r>
        <w:rPr>
          <w:rFonts w:ascii="Arial"/>
          <w:color w:val="000000"/>
          <w:sz w:val="24"/>
        </w:rPr>
        <w:t xml:space="preserve">August 2025. But Portelli contended that </w:t>
      </w:r>
      <w:r>
        <w:rPr>
          <w:rFonts w:ascii="Arial"/>
          <w:color w:val="000000"/>
          <w:sz w:val="24"/>
        </w:rPr>
        <w:t xml:space="preserve">because the work in question straddled July and August </w:t>
      </w:r>
      <w:r>
        <w:rPr>
          <w:rFonts w:ascii="Arial"/>
          <w:color w:val="000000"/>
          <w:sz w:val="24"/>
        </w:rPr>
        <w:t xml:space="preserve">it was not possible to discern which work, if any, was carried out in July as opposed to August. Nothing turns on this point. For the reasons set out in the preceding paragraph, Black Sheep was entitled to issue a payment claim </w:t>
      </w:r>
      <w:r>
        <w:rPr>
          <w:rFonts w:ascii="Arial"/>
          <w:color w:val="000000"/>
          <w:sz w:val="24"/>
        </w:rPr>
        <w:t>on 21 August 2025 that encompassed a claim for</w:t>
      </w:r>
      <w:r>
        <w:rPr>
          <w:rFonts w:ascii="Arial"/>
          <w:color w:val="000000"/>
          <w:sz w:val="24"/>
        </w:rPr>
        <w:t xml:space="preserve"> </w:t>
      </w:r>
      <w:r>
        <w:rPr>
          <w:rFonts w:ascii="Arial"/>
          <w:color w:val="000000"/>
          <w:sz w:val="24"/>
        </w:rPr>
        <w:t xml:space="preserve">work done in both July and August, prior to the date of the payment claim. There is no longer any complaint by Portelli that the work in question was not identified. No further specification about the precise timing of </w:t>
      </w:r>
      <w:r>
        <w:rPr>
          <w:rFonts w:ascii="Arial"/>
          <w:color w:val="000000"/>
          <w:sz w:val="24"/>
        </w:rPr>
        <w:t>particular work</w:t>
      </w:r>
      <w:r>
        <w:rPr>
          <w:rFonts w:ascii="Arial"/>
          <w:color w:val="000000"/>
          <w:sz w:val="24"/>
        </w:rPr>
        <w:t xml:space="preserve"> </w:t>
      </w:r>
      <w:r>
        <w:rPr>
          <w:rFonts w:ascii="Arial"/>
          <w:color w:val="000000"/>
          <w:sz w:val="24"/>
        </w:rPr>
        <w:t xml:space="preserve">was required </w:t>
      </w:r>
      <w:r>
        <w:rPr>
          <w:rFonts w:ascii="Arial"/>
          <w:color w:val="000000"/>
          <w:sz w:val="24"/>
        </w:rPr>
        <w:t>in order for</w:t>
      </w:r>
      <w:r>
        <w:rPr>
          <w:rFonts w:ascii="Arial"/>
          <w:color w:val="000000"/>
          <w:sz w:val="24"/>
        </w:rPr>
        <w:t xml:space="preserve"> </w:t>
      </w:r>
      <w:r>
        <w:rPr>
          <w:rFonts w:ascii="Arial"/>
          <w:color w:val="000000"/>
          <w:sz w:val="24"/>
        </w:rPr>
        <w:t xml:space="preserve">the claim to have the character of a valid payment claim under the </w:t>
      </w:r>
      <w:r>
        <w:rPr>
          <w:rFonts w:ascii="Arial"/>
          <w:color w:val="000000"/>
          <w:sz w:val="24"/>
        </w:rPr>
        <w:t>SOP Act</w:t>
      </w:r>
      <w:r>
        <w:rPr>
          <w:rFonts w:ascii="Arial"/>
          <w:color w:val="000000"/>
          <w:sz w:val="24"/>
        </w:rPr>
        <w:t>.</w:t>
      </w:r>
    </w:p>
    <w:p>
      <w:pPr>
        <w:pStyle w:val="CaselawNumbered10"/>
        <w:numPr>
          <w:ilvl w:val="0"/>
          <w:numId w:val="43"/>
        </w:numPr>
        <w:spacing w:before="150" w:after="0"/>
        <w:ind w:left="600" w:hanging="600"/>
      </w:pPr>
      <w:r>
        <w:rPr>
          <w:rFonts w:ascii="Arial"/>
          <w:color w:val="000000"/>
          <w:sz w:val="24"/>
        </w:rPr>
        <w:t xml:space="preserve">In any event, as Black Sheep submits, if it was necessary to demonstrate that at least some work that was the subject of PC3 was claimed to have been done in July 2025 and at least some work was claimed to have been done in August 2025 (as Portelli submitted), that </w:t>
      </w:r>
      <w:r>
        <w:rPr>
          <w:rFonts w:ascii="Arial"/>
          <w:color w:val="000000"/>
          <w:sz w:val="24"/>
        </w:rPr>
        <w:t>requirement was satisfied</w:t>
      </w:r>
      <w:r>
        <w:rPr>
          <w:rFonts w:ascii="Arial"/>
          <w:color w:val="000000"/>
          <w:sz w:val="24"/>
        </w:rPr>
        <w:t xml:space="preserve">. </w:t>
      </w:r>
      <w:r>
        <w:rPr>
          <w:rFonts w:ascii="Arial"/>
          <w:color w:val="000000"/>
          <w:sz w:val="24"/>
        </w:rPr>
        <w:t>For example, i</w:t>
      </w:r>
      <w:r>
        <w:rPr>
          <w:rFonts w:ascii="Arial"/>
          <w:color w:val="000000"/>
          <w:sz w:val="24"/>
        </w:rPr>
        <w:t xml:space="preserve">tem 4.02 (extracted in the table above) was a </w:t>
      </w:r>
      <w:r>
        <w:rPr>
          <w:rFonts w:ascii="Arial"/>
          <w:color w:val="000000"/>
          <w:sz w:val="24"/>
        </w:rPr>
        <w:t>“</w:t>
      </w:r>
      <w:r>
        <w:rPr>
          <w:rFonts w:ascii="Arial"/>
          <w:color w:val="000000"/>
          <w:sz w:val="24"/>
        </w:rPr>
        <w:t>monthly claim</w:t>
      </w:r>
      <w:r>
        <w:rPr>
          <w:rFonts w:ascii="Arial"/>
          <w:color w:val="000000"/>
          <w:sz w:val="24"/>
        </w:rPr>
        <w:t xml:space="preserve">” </w:t>
      </w:r>
      <w:r>
        <w:rPr>
          <w:rFonts w:ascii="Arial"/>
          <w:color w:val="000000"/>
          <w:sz w:val="24"/>
        </w:rPr>
        <w:t xml:space="preserve">for the </w:t>
      </w:r>
      <w:r>
        <w:rPr>
          <w:rFonts w:ascii="Arial"/>
          <w:color w:val="000000"/>
          <w:sz w:val="24"/>
        </w:rPr>
        <w:t>full time</w:t>
      </w:r>
      <w:r>
        <w:rPr>
          <w:rFonts w:ascii="Arial"/>
          <w:color w:val="000000"/>
          <w:sz w:val="24"/>
        </w:rPr>
        <w:t xml:space="preserve"> </w:t>
      </w:r>
      <w:r>
        <w:rPr>
          <w:rFonts w:ascii="Arial"/>
          <w:color w:val="000000"/>
          <w:sz w:val="24"/>
        </w:rPr>
        <w:t xml:space="preserve">work of the Site Manager. </w:t>
      </w:r>
      <w:r>
        <w:rPr>
          <w:rFonts w:ascii="Arial"/>
          <w:color w:val="000000"/>
          <w:sz w:val="24"/>
        </w:rPr>
        <w:t>Read fairly and i</w:t>
      </w:r>
      <w:r>
        <w:rPr>
          <w:rFonts w:ascii="Arial"/>
          <w:color w:val="000000"/>
          <w:sz w:val="24"/>
        </w:rPr>
        <w:t xml:space="preserve">n context, that was </w:t>
      </w:r>
      <w:r>
        <w:rPr>
          <w:rFonts w:ascii="Arial"/>
          <w:color w:val="000000"/>
          <w:sz w:val="24"/>
        </w:rPr>
        <w:t>plainly</w:t>
      </w:r>
      <w:r>
        <w:rPr>
          <w:rFonts w:ascii="Arial"/>
          <w:color w:val="000000"/>
          <w:sz w:val="24"/>
        </w:rPr>
        <w:t xml:space="preserve"> </w:t>
      </w:r>
      <w:r>
        <w:rPr>
          <w:rFonts w:ascii="Arial"/>
          <w:color w:val="000000"/>
          <w:sz w:val="24"/>
        </w:rPr>
        <w:t xml:space="preserve">a claim for the work of the Site Manager on each working day from 22 July 2025 to 21 August 2025. </w:t>
      </w:r>
    </w:p>
    <w:p>
      <w:pPr>
        <w:pStyle w:val="CaselawNumbered10"/>
        <w:numPr>
          <w:ilvl w:val="0"/>
          <w:numId w:val="43"/>
        </w:numPr>
        <w:spacing w:before="150" w:after="0"/>
        <w:ind w:left="600" w:hanging="600"/>
      </w:pPr>
      <w:r>
        <w:rPr>
          <w:rFonts w:ascii="Arial"/>
          <w:color w:val="000000"/>
          <w:sz w:val="24"/>
        </w:rPr>
        <w:t>PC4 was a claim in respect of work spanning the period from</w:t>
      </w:r>
      <w:r>
        <w:rPr>
          <w:rFonts w:ascii="Arial"/>
          <w:color w:val="000000"/>
          <w:sz w:val="24"/>
        </w:rPr>
        <w:t xml:space="preserve"> </w:t>
      </w:r>
      <w:r>
        <w:rPr>
          <w:rFonts w:ascii="Arial"/>
          <w:color w:val="000000"/>
          <w:sz w:val="24"/>
        </w:rPr>
        <w:t>22 August 2025 to 21 September 2025.</w:t>
      </w:r>
      <w:r>
        <w:rPr>
          <w:rFonts w:ascii="Arial"/>
          <w:color w:val="000000"/>
          <w:sz w:val="24"/>
        </w:rPr>
        <w:t xml:space="preserve"> </w:t>
      </w:r>
      <w:r>
        <w:rPr>
          <w:rFonts w:ascii="Arial"/>
          <w:color w:val="000000"/>
          <w:sz w:val="24"/>
        </w:rPr>
        <w:t>Black Sheep was entitled to serve a claim in respect of such work on and from the 21</w:t>
      </w:r>
      <w:r>
        <w:rPr>
          <w:rFonts w:ascii="Arial"/>
          <w:color w:val="000000"/>
          <w:sz w:val="24"/>
        </w:rPr>
        <w:t>st</w:t>
      </w:r>
      <w:r>
        <w:rPr>
          <w:rFonts w:ascii="Arial"/>
          <w:color w:val="000000"/>
          <w:sz w:val="24"/>
        </w:rPr>
        <w:t xml:space="preserve"> </w:t>
      </w:r>
      <w:r>
        <w:rPr>
          <w:rFonts w:ascii="Arial"/>
          <w:color w:val="000000"/>
          <w:sz w:val="24"/>
        </w:rPr>
        <w:t xml:space="preserve">day of September. It did so by serving a claim on 22 September 2025. </w:t>
      </w:r>
      <w:r>
        <w:rPr>
          <w:rFonts w:ascii="Arial"/>
          <w:color w:val="000000"/>
          <w:sz w:val="24"/>
        </w:rPr>
        <w:t xml:space="preserve">Black Sheep was entitled to incorporate within the claim work that had been done in both August and September. </w:t>
      </w:r>
      <w:r>
        <w:rPr>
          <w:rFonts w:ascii="Arial"/>
          <w:color w:val="000000"/>
          <w:sz w:val="24"/>
        </w:rPr>
        <w:t xml:space="preserve">PC4 also incorporated a further claim for the amount that had been </w:t>
      </w:r>
      <w:r>
        <w:rPr>
          <w:rFonts w:ascii="Arial"/>
          <w:color w:val="000000"/>
          <w:sz w:val="24"/>
        </w:rPr>
        <w:t xml:space="preserve">the </w:t>
      </w:r>
      <w:r>
        <w:rPr>
          <w:rFonts w:ascii="Arial"/>
          <w:color w:val="000000"/>
          <w:sz w:val="24"/>
        </w:rPr>
        <w:t xml:space="preserve">subject of PC3, and which remained unpaid. That is expressly permitted by s 13(6)(b). </w:t>
      </w:r>
    </w:p>
    <w:p>
      <w:pPr>
        <w:pStyle w:val="CaselawNumbered10"/>
        <w:numPr>
          <w:ilvl w:val="0"/>
          <w:numId w:val="43"/>
        </w:numPr>
        <w:spacing w:before="150" w:after="0"/>
        <w:ind w:left="600" w:hanging="600"/>
      </w:pPr>
      <w:r>
        <w:rPr>
          <w:rFonts w:ascii="Arial"/>
          <w:color w:val="000000"/>
          <w:sz w:val="24"/>
        </w:rPr>
        <w:t xml:space="preserve">It follows that </w:t>
      </w:r>
      <w:r>
        <w:rPr>
          <w:rFonts w:ascii="Arial"/>
          <w:color w:val="000000"/>
          <w:sz w:val="24"/>
        </w:rPr>
        <w:t xml:space="preserve">each of PC3 and PC4 was served at a time authorised by the </w:t>
      </w:r>
      <w:r>
        <w:rPr>
          <w:rFonts w:ascii="Arial"/>
          <w:color w:val="000000"/>
          <w:sz w:val="24"/>
        </w:rPr>
        <w:t>SOP Act</w:t>
      </w:r>
      <w:r>
        <w:rPr>
          <w:rFonts w:ascii="Arial"/>
          <w:color w:val="000000"/>
          <w:sz w:val="24"/>
        </w:rPr>
        <w:t>, having regard to the contents of the payment claims and the terms of the Contract</w:t>
      </w:r>
      <w:r>
        <w:rPr>
          <w:rFonts w:ascii="Arial"/>
          <w:i/>
          <w:color w:val="000000"/>
          <w:sz w:val="24"/>
        </w:rPr>
        <w:t xml:space="preserve">. </w:t>
      </w:r>
      <w:r>
        <w:rPr>
          <w:rFonts w:ascii="Arial"/>
          <w:color w:val="000000"/>
          <w:sz w:val="24"/>
        </w:rPr>
        <w:t>T</w:t>
      </w:r>
      <w:r>
        <w:rPr>
          <w:rFonts w:ascii="Arial"/>
          <w:color w:val="000000"/>
          <w:sz w:val="24"/>
        </w:rPr>
        <w:t xml:space="preserve">he primary judge was right to reject the argument that PC3 and PC4 were served </w:t>
      </w:r>
      <w:r>
        <w:rPr>
          <w:rFonts w:ascii="Arial"/>
          <w:color w:val="000000"/>
          <w:sz w:val="24"/>
        </w:rPr>
        <w:t>“</w:t>
      </w:r>
      <w:r>
        <w:rPr>
          <w:rFonts w:ascii="Arial"/>
          <w:color w:val="000000"/>
          <w:sz w:val="24"/>
        </w:rPr>
        <w:t>prematurely</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 xml:space="preserve">Her Honour was also </w:t>
      </w:r>
      <w:r>
        <w:rPr>
          <w:rFonts w:ascii="Arial"/>
          <w:color w:val="000000"/>
          <w:sz w:val="24"/>
        </w:rPr>
        <w:t>correct in observing</w:t>
      </w:r>
      <w:r>
        <w:rPr>
          <w:rFonts w:ascii="Arial"/>
          <w:color w:val="000000"/>
          <w:sz w:val="24"/>
        </w:rPr>
        <w:t xml:space="preserve"> </w:t>
      </w:r>
      <w:r>
        <w:rPr>
          <w:rFonts w:ascii="Arial"/>
          <w:color w:val="000000"/>
          <w:sz w:val="24"/>
        </w:rPr>
        <w:t xml:space="preserve">that the issue is capable of resolution on a summary basis, turning as it does on a proper construction of the </w:t>
      </w:r>
      <w:r>
        <w:rPr>
          <w:rFonts w:ascii="Arial"/>
          <w:color w:val="000000"/>
          <w:sz w:val="24"/>
        </w:rPr>
        <w:t>SOP Act</w:t>
      </w:r>
      <w:r>
        <w:rPr>
          <w:rFonts w:ascii="Arial"/>
          <w:i/>
          <w:color w:val="000000"/>
          <w:sz w:val="24"/>
        </w:rPr>
        <w:t xml:space="preserve">, </w:t>
      </w:r>
      <w:r>
        <w:rPr>
          <w:rFonts w:ascii="Arial"/>
          <w:color w:val="000000"/>
          <w:sz w:val="24"/>
        </w:rPr>
        <w:t xml:space="preserve">applied </w:t>
      </w:r>
      <w:r>
        <w:rPr>
          <w:rFonts w:ascii="Arial"/>
          <w:color w:val="000000"/>
          <w:sz w:val="24"/>
        </w:rPr>
        <w:t>in light of</w:t>
      </w:r>
      <w:r>
        <w:rPr>
          <w:rFonts w:ascii="Arial"/>
          <w:color w:val="000000"/>
          <w:sz w:val="24"/>
        </w:rPr>
        <w:t xml:space="preserve"> </w:t>
      </w:r>
      <w:r>
        <w:rPr>
          <w:rFonts w:ascii="Arial"/>
          <w:color w:val="000000"/>
          <w:sz w:val="24"/>
        </w:rPr>
        <w:t xml:space="preserve">the Contract, </w:t>
      </w:r>
      <w:r>
        <w:rPr>
          <w:rFonts w:ascii="Arial"/>
          <w:color w:val="000000"/>
          <w:sz w:val="24"/>
        </w:rPr>
        <w:t xml:space="preserve">and interpretation of the documents constituting the payment claims. </w:t>
      </w:r>
    </w:p>
    <w:p>
      <w:pPr>
        <w:pStyle w:val="CaselawHeading2"/>
        <w:keepNext/>
        <w:spacing w:before="150" w:after="150" w:line="264"/>
        <w:ind w:left="0"/>
        <w:jc w:val="left"/>
      </w:pPr>
      <w:r>
        <w:rPr>
          <w:rFonts w:ascii="Arial"/>
        </w:rPr>
        <w:t>Did the work under the Contract involve the construction of “self-contained units”?</w:t>
      </w:r>
    </w:p>
    <w:p>
      <w:pPr>
        <w:pStyle w:val="CaselawNumbered10"/>
        <w:numPr>
          <w:ilvl w:val="0"/>
          <w:numId w:val="44"/>
        </w:numPr>
        <w:spacing w:before="150" w:after="0"/>
        <w:ind w:left="600" w:hanging="600"/>
      </w:pPr>
      <w:r>
        <w:rPr>
          <w:rFonts w:ascii="Arial"/>
          <w:color w:val="000000"/>
          <w:sz w:val="24"/>
        </w:rPr>
        <w:t>Portelli</w:t>
      </w:r>
      <w:r>
        <w:rPr>
          <w:rFonts w:ascii="Arial"/>
          <w:color w:val="000000"/>
          <w:sz w:val="24"/>
        </w:rPr>
        <w:t>’</w:t>
      </w:r>
      <w:r>
        <w:rPr>
          <w:rFonts w:ascii="Arial"/>
          <w:color w:val="000000"/>
          <w:sz w:val="24"/>
        </w:rPr>
        <w:t xml:space="preserve">s remaining argument is that </w:t>
      </w:r>
      <w:r>
        <w:rPr>
          <w:rFonts w:ascii="Arial"/>
          <w:color w:val="000000"/>
          <w:sz w:val="24"/>
        </w:rPr>
        <w:t xml:space="preserve">summary judgment ought not </w:t>
      </w:r>
      <w:r>
        <w:rPr>
          <w:rFonts w:ascii="Arial"/>
          <w:color w:val="000000"/>
          <w:sz w:val="24"/>
        </w:rPr>
        <w:t xml:space="preserve">to </w:t>
      </w:r>
      <w:r>
        <w:rPr>
          <w:rFonts w:ascii="Arial"/>
          <w:color w:val="000000"/>
          <w:sz w:val="24"/>
        </w:rPr>
        <w:t xml:space="preserve">have been awarded because </w:t>
      </w:r>
      <w:r>
        <w:rPr>
          <w:rFonts w:ascii="Arial"/>
          <w:color w:val="000000"/>
          <w:sz w:val="24"/>
        </w:rPr>
        <w:t xml:space="preserve">there was a triable issue about whether Black Sheep had any entitlement to recover </w:t>
      </w:r>
      <w:r>
        <w:rPr>
          <w:rFonts w:ascii="Arial"/>
          <w:color w:val="000000"/>
          <w:sz w:val="24"/>
        </w:rPr>
        <w:t>progress payment</w:t>
      </w:r>
      <w:r>
        <w:rPr>
          <w:rFonts w:ascii="Arial"/>
          <w:color w:val="000000"/>
          <w:sz w:val="24"/>
        </w:rPr>
        <w:t xml:space="preserve">s pursuant to the </w:t>
      </w:r>
      <w:r>
        <w:rPr>
          <w:rFonts w:ascii="Arial"/>
          <w:color w:val="000000"/>
          <w:sz w:val="24"/>
        </w:rPr>
        <w:t>SOP Act</w:t>
      </w:r>
      <w:r>
        <w:rPr>
          <w:rFonts w:ascii="Arial"/>
          <w:color w:val="000000"/>
          <w:sz w:val="24"/>
        </w:rPr>
        <w:t>, having regard to the nature of the development under the Contract. The issue arises because Black Sheep was not insured</w:t>
      </w:r>
      <w:r>
        <w:rPr>
          <w:rFonts w:ascii="Arial"/>
          <w:color w:val="000000"/>
          <w:sz w:val="24"/>
        </w:rPr>
        <w:t>, in respect of this development,</w:t>
      </w:r>
      <w:r>
        <w:rPr>
          <w:rFonts w:ascii="Arial"/>
          <w:color w:val="000000"/>
          <w:sz w:val="24"/>
        </w:rPr>
        <w:t xml:space="preserve"> </w:t>
      </w:r>
      <w:r>
        <w:rPr>
          <w:rFonts w:ascii="Arial"/>
          <w:color w:val="000000"/>
          <w:sz w:val="24"/>
        </w:rPr>
        <w:t xml:space="preserve">for </w:t>
      </w:r>
      <w:r>
        <w:rPr>
          <w:rFonts w:ascii="Arial"/>
          <w:color w:val="000000"/>
          <w:sz w:val="24"/>
        </w:rPr>
        <w:t>“</w:t>
      </w:r>
      <w:r>
        <w:rPr>
          <w:rFonts w:ascii="Arial"/>
          <w:color w:val="000000"/>
          <w:sz w:val="24"/>
        </w:rPr>
        <w:t>residential building work</w:t>
      </w:r>
      <w:r>
        <w:rPr>
          <w:rFonts w:ascii="Arial"/>
          <w:color w:val="000000"/>
          <w:sz w:val="24"/>
        </w:rPr>
        <w:t>”</w:t>
      </w:r>
      <w:r>
        <w:rPr>
          <w:rFonts w:ascii="Arial"/>
          <w:color w:val="000000"/>
          <w:sz w:val="24"/>
        </w:rPr>
        <w:t xml:space="preserve"> </w:t>
      </w:r>
      <w:r>
        <w:rPr>
          <w:rFonts w:ascii="Arial"/>
          <w:color w:val="000000"/>
          <w:sz w:val="24"/>
        </w:rPr>
        <w:t xml:space="preserve">under the </w:t>
      </w:r>
      <w:r>
        <w:rPr>
          <w:rFonts w:ascii="Arial"/>
          <w:i/>
          <w:color w:val="000000"/>
          <w:sz w:val="24"/>
        </w:rPr>
        <w:t>Home Building Act</w:t>
      </w:r>
      <w:r>
        <w:rPr>
          <w:rFonts w:ascii="Arial"/>
          <w:i/>
          <w:color w:val="000000"/>
          <w:sz w:val="24"/>
        </w:rPr>
        <w:t>.</w:t>
      </w:r>
      <w:r>
        <w:rPr>
          <w:rFonts w:ascii="Arial"/>
          <w:i/>
          <w:color w:val="000000"/>
          <w:sz w:val="24"/>
        </w:rPr>
        <w:t xml:space="preserve"> </w:t>
      </w:r>
      <w:r>
        <w:rPr>
          <w:rFonts w:ascii="Arial"/>
          <w:color w:val="000000"/>
          <w:sz w:val="24"/>
        </w:rPr>
        <w:t>Pursuant to s 8(2)(b)</w:t>
      </w:r>
      <w:r>
        <w:rPr>
          <w:rFonts w:ascii="Arial"/>
          <w:color w:val="000000"/>
          <w:sz w:val="24"/>
        </w:rPr>
        <w:t xml:space="preserve"> </w:t>
      </w:r>
      <w:r>
        <w:rPr>
          <w:rFonts w:ascii="Arial"/>
          <w:color w:val="000000"/>
          <w:sz w:val="24"/>
        </w:rPr>
        <w:t xml:space="preserve">of the </w:t>
      </w:r>
      <w:r>
        <w:rPr>
          <w:rFonts w:ascii="Arial"/>
          <w:color w:val="000000"/>
          <w:sz w:val="24"/>
        </w:rPr>
        <w:t>SOP Act</w:t>
      </w:r>
      <w:r>
        <w:rPr>
          <w:rFonts w:ascii="Arial"/>
          <w:color w:val="000000"/>
          <w:sz w:val="24"/>
        </w:rPr>
        <w:t>,</w:t>
      </w:r>
      <w:r>
        <w:rPr>
          <w:rFonts w:ascii="Arial"/>
          <w:color w:val="000000"/>
          <w:sz w:val="24"/>
        </w:rPr>
        <w:t xml:space="preserve"> </w:t>
      </w:r>
      <w:r>
        <w:rPr>
          <w:rFonts w:ascii="Arial"/>
          <w:color w:val="000000"/>
          <w:sz w:val="24"/>
        </w:rPr>
        <w:t>a person is not entitled to a progress payment under s</w:t>
      </w:r>
      <w:r>
        <w:rPr>
          <w:rFonts w:ascii="Arial"/>
          <w:color w:val="000000"/>
          <w:sz w:val="24"/>
        </w:rPr>
        <w:t xml:space="preserve"> 8(1) if the construction contract in question involves construction work that is residential building work done in contravention of s 92 of the </w:t>
      </w:r>
      <w:r>
        <w:rPr>
          <w:rFonts w:ascii="Arial"/>
          <w:i/>
          <w:color w:val="000000"/>
          <w:sz w:val="24"/>
        </w:rPr>
        <w:t>Home Building Act.</w:t>
      </w:r>
      <w:r>
        <w:rPr>
          <w:rFonts w:ascii="Arial"/>
          <w:color w:val="000000"/>
          <w:sz w:val="24"/>
        </w:rPr>
        <w:t xml:space="preserve"> </w:t>
      </w:r>
      <w:r>
        <w:rPr>
          <w:rFonts w:ascii="Arial"/>
          <w:color w:val="000000"/>
          <w:sz w:val="24"/>
        </w:rPr>
        <w:t xml:space="preserve">Section 92 of the </w:t>
      </w:r>
      <w:r>
        <w:rPr>
          <w:rFonts w:ascii="Arial"/>
          <w:i/>
          <w:color w:val="000000"/>
          <w:sz w:val="24"/>
        </w:rPr>
        <w:t xml:space="preserve">Home Building Act </w:t>
      </w:r>
      <w:r>
        <w:rPr>
          <w:rFonts w:ascii="Arial"/>
          <w:color w:val="000000"/>
          <w:sz w:val="24"/>
        </w:rPr>
        <w:t xml:space="preserve">relevantly provides that a person must not do </w:t>
      </w:r>
      <w:r>
        <w:rPr>
          <w:rFonts w:ascii="Arial"/>
          <w:color w:val="000000"/>
          <w:sz w:val="24"/>
        </w:rPr>
        <w:t>“</w:t>
      </w:r>
      <w:r>
        <w:rPr>
          <w:rFonts w:ascii="Arial"/>
          <w:color w:val="000000"/>
          <w:sz w:val="24"/>
        </w:rPr>
        <w:t>residential building work</w:t>
      </w:r>
      <w:r>
        <w:rPr>
          <w:rFonts w:ascii="Arial"/>
          <w:color w:val="000000"/>
          <w:sz w:val="24"/>
        </w:rPr>
        <w:t xml:space="preserve">” </w:t>
      </w:r>
      <w:r>
        <w:rPr>
          <w:rFonts w:ascii="Arial"/>
          <w:color w:val="000000"/>
          <w:sz w:val="24"/>
        </w:rPr>
        <w:t>under a contract unless there is a compliant contract of insurance in force in relation to that work.</w:t>
      </w:r>
    </w:p>
    <w:p>
      <w:pPr>
        <w:pStyle w:val="CaselawNumbered10"/>
        <w:numPr>
          <w:ilvl w:val="0"/>
          <w:numId w:val="44"/>
        </w:numPr>
        <w:spacing w:before="150" w:after="0"/>
        <w:ind w:left="600" w:hanging="600"/>
      </w:pPr>
      <w:r>
        <w:rPr>
          <w:rFonts w:ascii="Arial"/>
          <w:color w:val="000000"/>
          <w:sz w:val="24"/>
        </w:rPr>
        <w:t xml:space="preserve">The primary judge was not satisfied that there </w:t>
      </w:r>
      <w:r>
        <w:rPr>
          <w:rFonts w:ascii="Arial"/>
          <w:color w:val="000000"/>
          <w:sz w:val="24"/>
        </w:rPr>
        <w:t>wa</w:t>
      </w:r>
      <w:r>
        <w:rPr>
          <w:rFonts w:ascii="Arial"/>
          <w:color w:val="000000"/>
          <w:sz w:val="24"/>
        </w:rPr>
        <w:t xml:space="preserve">s any triable </w:t>
      </w:r>
      <w:r>
        <w:rPr>
          <w:rFonts w:ascii="Arial"/>
          <w:color w:val="000000"/>
          <w:sz w:val="24"/>
        </w:rPr>
        <w:t>issue arising from</w:t>
      </w:r>
      <w:r>
        <w:rPr>
          <w:rFonts w:ascii="Arial"/>
          <w:color w:val="000000"/>
          <w:sz w:val="24"/>
        </w:rPr>
        <w:t xml:space="preserve"> </w:t>
      </w:r>
      <w:r>
        <w:rPr>
          <w:rFonts w:ascii="Arial"/>
          <w:color w:val="000000"/>
          <w:sz w:val="24"/>
        </w:rPr>
        <w:t>Portelli</w:t>
      </w:r>
      <w:r>
        <w:rPr>
          <w:rFonts w:ascii="Arial"/>
          <w:color w:val="000000"/>
          <w:sz w:val="24"/>
        </w:rPr>
        <w:t>’</w:t>
      </w:r>
      <w:r>
        <w:rPr>
          <w:rFonts w:ascii="Arial"/>
          <w:color w:val="000000"/>
          <w:sz w:val="24"/>
        </w:rPr>
        <w:t xml:space="preserve">s contention that Black Sheep is carrying out </w:t>
      </w:r>
      <w:r>
        <w:rPr>
          <w:rFonts w:ascii="Arial"/>
          <w:color w:val="000000"/>
          <w:sz w:val="24"/>
        </w:rPr>
        <w:t>“</w:t>
      </w:r>
      <w:r>
        <w:rPr>
          <w:rFonts w:ascii="Arial"/>
          <w:color w:val="000000"/>
          <w:sz w:val="24"/>
        </w:rPr>
        <w:t>residential building work</w:t>
      </w:r>
      <w:r>
        <w:rPr>
          <w:rFonts w:ascii="Arial"/>
          <w:color w:val="000000"/>
          <w:sz w:val="24"/>
        </w:rPr>
        <w:t xml:space="preserve">” </w:t>
      </w:r>
      <w:r>
        <w:rPr>
          <w:rFonts w:ascii="Arial"/>
          <w:color w:val="000000"/>
          <w:sz w:val="24"/>
        </w:rPr>
        <w:t>under the Contract. S</w:t>
      </w:r>
      <w:r>
        <w:rPr>
          <w:rFonts w:ascii="Arial"/>
          <w:color w:val="000000"/>
          <w:sz w:val="24"/>
        </w:rPr>
        <w:t xml:space="preserve">chedule 1, </w:t>
      </w:r>
      <w:r>
        <w:rPr>
          <w:rFonts w:ascii="Arial"/>
          <w:color w:val="000000"/>
          <w:sz w:val="24"/>
        </w:rPr>
        <w:t>cl</w:t>
      </w:r>
      <w:r>
        <w:rPr>
          <w:rFonts w:ascii="Arial"/>
          <w:color w:val="000000"/>
          <w:sz w:val="24"/>
        </w:rPr>
        <w:t xml:space="preserve"> </w:t>
      </w:r>
      <w:r>
        <w:rPr>
          <w:rFonts w:ascii="Arial"/>
          <w:color w:val="000000"/>
          <w:sz w:val="24"/>
        </w:rPr>
        <w:t xml:space="preserve">2 of the </w:t>
      </w:r>
      <w:r>
        <w:rPr>
          <w:rFonts w:ascii="Arial"/>
          <w:i/>
          <w:color w:val="000000"/>
          <w:sz w:val="24"/>
        </w:rPr>
        <w:t xml:space="preserve">Home Building Act </w:t>
      </w:r>
      <w:r>
        <w:rPr>
          <w:rFonts w:ascii="Arial"/>
          <w:color w:val="000000"/>
          <w:sz w:val="24"/>
        </w:rPr>
        <w:t>relevantly provides:</w:t>
      </w:r>
    </w:p>
    <w:p>
      <w:pPr>
        <w:pStyle w:val="CaselawQuote"/>
        <w:spacing w:before="150" w:after="150"/>
        <w:ind w:left="1350"/>
        <w:jc w:val="left"/>
      </w:pPr>
      <w:r>
        <w:rPr>
          <w:rFonts w:ascii="Arial"/>
          <w:b/>
          <w:color w:val="000000"/>
          <w:sz w:val="22"/>
        </w:rPr>
        <w:t>2 Definition of “residential building work”</w:t>
      </w:r>
    </w:p>
    <w:p>
      <w:pPr>
        <w:pStyle w:val="CaselawQuote"/>
        <w:spacing w:before="150" w:after="150"/>
        <w:ind w:left="1350"/>
        <w:jc w:val="left"/>
      </w:pPr>
      <w:r>
        <w:rPr>
          <w:rFonts w:ascii="Arial"/>
          <w:color w:val="000000"/>
          <w:sz w:val="22"/>
        </w:rPr>
        <w:t xml:space="preserve">(1) </w:t>
      </w:r>
      <w:r>
        <w:rPr>
          <w:rFonts w:ascii="Arial"/>
          <w:color w:val="000000"/>
          <w:sz w:val="22"/>
        </w:rPr>
        <w:t>   </w:t>
      </w:r>
      <w:r>
        <w:rPr>
          <w:rFonts w:ascii="Arial"/>
          <w:color w:val="000000"/>
          <w:sz w:val="22"/>
        </w:rPr>
        <w:t xml:space="preserve">In this Act, </w:t>
      </w:r>
      <w:r>
        <w:rPr>
          <w:rFonts w:ascii="Arial"/>
          <w:b/>
          <w:i/>
          <w:color w:val="000000"/>
          <w:sz w:val="22"/>
        </w:rPr>
        <w:t>residential building work</w:t>
      </w:r>
      <w:r>
        <w:rPr>
          <w:rFonts w:ascii="Arial"/>
          <w:color w:val="000000"/>
          <w:sz w:val="22"/>
        </w:rPr>
        <w:t xml:space="preserve"> means any work involved in, or involved in co-ordinating or supervising any work involved in—</w:t>
      </w:r>
    </w:p>
    <w:p>
      <w:pPr>
        <w:pStyle w:val="CaselawQuote"/>
        <w:spacing w:before="150" w:after="150"/>
        <w:ind w:left="1350"/>
        <w:jc w:val="left"/>
      </w:pPr>
      <w:r>
        <w:rPr>
          <w:rFonts w:ascii="Arial"/>
          <w:color w:val="000000"/>
          <w:sz w:val="22"/>
        </w:rPr>
        <w:t xml:space="preserve">(a) </w:t>
      </w:r>
      <w:r>
        <w:rPr>
          <w:rFonts w:ascii="Arial"/>
          <w:color w:val="000000"/>
          <w:sz w:val="22"/>
        </w:rPr>
        <w:t>   </w:t>
      </w:r>
      <w:r>
        <w:rPr>
          <w:rFonts w:ascii="Arial"/>
          <w:color w:val="000000"/>
          <w:sz w:val="22"/>
        </w:rPr>
        <w:t>the construction of a dwelling, or</w:t>
      </w:r>
    </w:p>
    <w:p>
      <w:pPr>
        <w:pStyle w:val="CaselawQuote"/>
        <w:spacing w:before="150" w:after="150"/>
        <w:ind w:left="1350"/>
        <w:jc w:val="left"/>
      </w:pPr>
      <w:r>
        <w:rPr>
          <w:rFonts w:ascii="Arial"/>
          <w:color w:val="000000"/>
          <w:sz w:val="22"/>
        </w:rPr>
        <w:t xml:space="preserve">(b) </w:t>
      </w:r>
      <w:r>
        <w:rPr>
          <w:rFonts w:ascii="Arial"/>
          <w:color w:val="000000"/>
          <w:sz w:val="22"/>
        </w:rPr>
        <w:t>   </w:t>
      </w:r>
      <w:r>
        <w:rPr>
          <w:rFonts w:ascii="Arial"/>
          <w:color w:val="000000"/>
          <w:sz w:val="22"/>
        </w:rPr>
        <w:t>the making of alterations or additions to a dwelling, or</w:t>
      </w:r>
    </w:p>
    <w:p>
      <w:pPr>
        <w:pStyle w:val="CaselawQuote"/>
        <w:spacing w:before="150" w:after="150"/>
        <w:ind w:left="1350"/>
        <w:jc w:val="left"/>
      </w:pPr>
      <w:r>
        <w:rPr>
          <w:rFonts w:ascii="Arial"/>
          <w:color w:val="000000"/>
          <w:sz w:val="22"/>
        </w:rPr>
        <w:t xml:space="preserve">(c) </w:t>
      </w:r>
      <w:r>
        <w:rPr>
          <w:rFonts w:ascii="Arial"/>
          <w:color w:val="000000"/>
          <w:sz w:val="22"/>
        </w:rPr>
        <w:t>   </w:t>
      </w:r>
      <w:r>
        <w:rPr>
          <w:rFonts w:ascii="Arial"/>
          <w:color w:val="000000"/>
          <w:sz w:val="22"/>
        </w:rPr>
        <w:t>the repairing, renovation, decoration or protective treatment of a dwelling.</w:t>
      </w:r>
    </w:p>
    <w:p>
      <w:pPr>
        <w:pStyle w:val="CaselawNumbered10"/>
        <w:numPr>
          <w:ilvl w:val="0"/>
          <w:numId w:val="45"/>
        </w:numPr>
        <w:spacing w:before="150" w:after="0"/>
        <w:ind w:left="600" w:hanging="600"/>
      </w:pPr>
      <w:r>
        <w:rPr>
          <w:rFonts w:ascii="Arial"/>
          <w:color w:val="000000"/>
          <w:sz w:val="24"/>
        </w:rPr>
        <w:t>“</w:t>
      </w:r>
      <w:r>
        <w:rPr>
          <w:rFonts w:ascii="Arial"/>
          <w:color w:val="000000"/>
          <w:sz w:val="24"/>
        </w:rPr>
        <w:t>Dwelling</w:t>
      </w:r>
      <w:r>
        <w:rPr>
          <w:rFonts w:ascii="Arial"/>
          <w:color w:val="000000"/>
          <w:sz w:val="24"/>
        </w:rPr>
        <w:t xml:space="preserve">” </w:t>
      </w:r>
      <w:r>
        <w:rPr>
          <w:rFonts w:ascii="Arial"/>
          <w:color w:val="000000"/>
          <w:sz w:val="24"/>
        </w:rPr>
        <w:t xml:space="preserve">is defined in </w:t>
      </w:r>
      <w:r>
        <w:rPr>
          <w:rFonts w:ascii="Arial"/>
          <w:color w:val="000000"/>
          <w:sz w:val="24"/>
        </w:rPr>
        <w:t xml:space="preserve">Sch 1, </w:t>
      </w:r>
      <w:r>
        <w:rPr>
          <w:rFonts w:ascii="Arial"/>
          <w:color w:val="000000"/>
          <w:sz w:val="24"/>
        </w:rPr>
        <w:t>cl</w:t>
      </w:r>
      <w:r>
        <w:rPr>
          <w:rFonts w:ascii="Arial"/>
          <w:color w:val="000000"/>
          <w:sz w:val="24"/>
        </w:rPr>
        <w:t xml:space="preserve"> </w:t>
      </w:r>
      <w:r>
        <w:rPr>
          <w:rFonts w:ascii="Arial"/>
          <w:color w:val="000000"/>
          <w:sz w:val="24"/>
        </w:rPr>
        <w:t>3. The relevant parts of that definition for present purposes are as follows:</w:t>
      </w:r>
    </w:p>
    <w:p>
      <w:pPr>
        <w:pStyle w:val="CaselawQuote"/>
        <w:spacing w:before="150" w:after="150"/>
        <w:ind w:left="1350"/>
        <w:jc w:val="left"/>
      </w:pPr>
      <w:r>
        <w:rPr>
          <w:rFonts w:ascii="Arial"/>
          <w:b/>
          <w:color w:val="000000"/>
          <w:sz w:val="22"/>
        </w:rPr>
        <w:t>3 Definition of “dwelling”</w:t>
      </w:r>
    </w:p>
    <w:p>
      <w:pPr>
        <w:pStyle w:val="CaselawQuote"/>
        <w:spacing w:before="150" w:after="150"/>
        <w:ind w:left="1350"/>
        <w:jc w:val="left"/>
      </w:pPr>
      <w:r>
        <w:rPr>
          <w:rFonts w:ascii="Arial"/>
          <w:color w:val="000000"/>
          <w:sz w:val="22"/>
        </w:rPr>
        <w:t xml:space="preserve">(1) </w:t>
      </w:r>
      <w:r>
        <w:rPr>
          <w:rFonts w:ascii="Arial"/>
          <w:color w:val="000000"/>
          <w:sz w:val="22"/>
        </w:rPr>
        <w:t>   </w:t>
      </w:r>
      <w:r>
        <w:rPr>
          <w:rFonts w:ascii="Arial"/>
          <w:color w:val="000000"/>
          <w:sz w:val="22"/>
        </w:rPr>
        <w:t xml:space="preserve">In this Act, </w:t>
      </w:r>
      <w:r>
        <w:rPr>
          <w:rFonts w:ascii="Arial"/>
          <w:b/>
          <w:i/>
          <w:color w:val="000000"/>
          <w:sz w:val="22"/>
        </w:rPr>
        <w:t>dwelling</w:t>
      </w:r>
      <w:r>
        <w:rPr>
          <w:rFonts w:ascii="Arial"/>
          <w:color w:val="000000"/>
          <w:sz w:val="22"/>
        </w:rPr>
        <w:t xml:space="preserve"> means a building or portion of a building that is designed, constructed or adapted for use as a residence (such as a detached or semi-detached house, transportable house, terrace or town house, duplex, villa-home, strata or company title home unit or residential flat).</w:t>
      </w:r>
    </w:p>
    <w:p>
      <w:pPr>
        <w:pStyle w:val="CaselawQuote"/>
        <w:spacing w:before="150" w:after="150"/>
        <w:ind w:left="1350"/>
        <w:jc w:val="left"/>
      </w:pPr>
      <w:r>
        <w:rPr>
          <w:rFonts w:ascii="Arial"/>
          <w:color w:val="000000"/>
          <w:sz w:val="22"/>
        </w:rPr>
        <w:t>…</w:t>
      </w:r>
    </w:p>
    <w:p>
      <w:pPr>
        <w:pStyle w:val="CaselawQuote"/>
        <w:spacing w:before="150" w:after="150"/>
        <w:ind w:left="1350"/>
        <w:jc w:val="left"/>
      </w:pPr>
      <w:r>
        <w:rPr>
          <w:rFonts w:ascii="Arial"/>
          <w:color w:val="000000"/>
          <w:sz w:val="22"/>
        </w:rPr>
        <w:t xml:space="preserve">(3) </w:t>
      </w:r>
      <w:r>
        <w:rPr>
          <w:rFonts w:ascii="Arial"/>
          <w:color w:val="000000"/>
          <w:sz w:val="22"/>
        </w:rPr>
        <w:t>   </w:t>
      </w:r>
      <w:r>
        <w:rPr>
          <w:rFonts w:ascii="Arial"/>
          <w:color w:val="000000"/>
          <w:sz w:val="22"/>
        </w:rPr>
        <w:t xml:space="preserve">Each of the following is excluded from the definition of </w:t>
      </w:r>
      <w:r>
        <w:rPr>
          <w:rFonts w:ascii="Arial"/>
          <w:b/>
          <w:i/>
          <w:color w:val="000000"/>
          <w:sz w:val="22"/>
        </w:rPr>
        <w:t>dwelling</w:t>
      </w:r>
      <w:r>
        <w:rPr>
          <w:rFonts w:ascii="Arial"/>
          <w:color w:val="000000"/>
          <w:sz w:val="22"/>
        </w:rPr>
        <w:t>—</w:t>
      </w:r>
    </w:p>
    <w:p>
      <w:pPr>
        <w:pStyle w:val="CaselawQuote"/>
        <w:spacing w:before="150" w:after="150"/>
        <w:ind w:left="1350"/>
        <w:jc w:val="left"/>
      </w:pPr>
      <w:r>
        <w:rPr>
          <w:rFonts w:ascii="Arial"/>
          <w:color w:val="000000"/>
          <w:sz w:val="22"/>
        </w:rPr>
        <w:t xml:space="preserve">(a) </w:t>
      </w:r>
      <w:r>
        <w:rPr>
          <w:rFonts w:ascii="Arial"/>
          <w:color w:val="000000"/>
          <w:sz w:val="22"/>
        </w:rPr>
        <w:t>   </w:t>
      </w:r>
      <w:r>
        <w:rPr>
          <w:rFonts w:ascii="Arial"/>
          <w:color w:val="000000"/>
          <w:sz w:val="22"/>
        </w:rPr>
        <w:t>a boarding house, guest house, hostel or lodging house,</w:t>
      </w:r>
    </w:p>
    <w:p>
      <w:pPr>
        <w:pStyle w:val="CaselawQuote"/>
        <w:spacing w:before="150" w:after="150"/>
        <w:ind w:left="1350"/>
        <w:jc w:val="left"/>
      </w:pPr>
      <w:r>
        <w:rPr>
          <w:rFonts w:ascii="Arial"/>
          <w:color w:val="000000"/>
          <w:sz w:val="22"/>
        </w:rPr>
        <w:t xml:space="preserve">(b) </w:t>
      </w:r>
      <w:r>
        <w:rPr>
          <w:rFonts w:ascii="Arial"/>
          <w:color w:val="000000"/>
          <w:sz w:val="22"/>
        </w:rPr>
        <w:t>   </w:t>
      </w:r>
      <w:r>
        <w:rPr>
          <w:rFonts w:ascii="Arial"/>
          <w:color w:val="000000"/>
          <w:sz w:val="22"/>
        </w:rPr>
        <w:t>all residential parts of a hotel or motel,</w:t>
      </w:r>
    </w:p>
    <w:p>
      <w:pPr>
        <w:pStyle w:val="CaselawQuote"/>
        <w:spacing w:before="150" w:after="150"/>
        <w:ind w:left="1350"/>
        <w:jc w:val="left"/>
      </w:pPr>
      <w:r>
        <w:rPr>
          <w:rFonts w:ascii="Arial"/>
          <w:color w:val="000000"/>
          <w:sz w:val="22"/>
        </w:rPr>
        <w:t xml:space="preserve">(c) </w:t>
      </w:r>
      <w:r>
        <w:rPr>
          <w:rFonts w:ascii="Arial"/>
          <w:color w:val="000000"/>
          <w:sz w:val="22"/>
        </w:rPr>
        <w:t>   </w:t>
      </w:r>
      <w:r>
        <w:rPr>
          <w:rFonts w:ascii="Arial"/>
          <w:color w:val="000000"/>
          <w:sz w:val="22"/>
        </w:rPr>
        <w:t>any residential part of an educational institution,</w:t>
      </w:r>
    </w:p>
    <w:p>
      <w:pPr>
        <w:pStyle w:val="CaselawQuote"/>
        <w:spacing w:before="150" w:after="150"/>
        <w:ind w:left="1350"/>
        <w:jc w:val="left"/>
      </w:pPr>
      <w:r>
        <w:rPr>
          <w:rFonts w:ascii="Arial"/>
          <w:color w:val="000000"/>
          <w:sz w:val="22"/>
        </w:rPr>
        <w:t xml:space="preserve">(d) </w:t>
      </w:r>
      <w:r>
        <w:rPr>
          <w:rFonts w:ascii="Arial"/>
          <w:color w:val="000000"/>
          <w:sz w:val="22"/>
        </w:rPr>
        <w:t>   </w:t>
      </w:r>
      <w:r>
        <w:rPr>
          <w:rFonts w:ascii="Arial"/>
          <w:color w:val="000000"/>
          <w:sz w:val="22"/>
        </w:rPr>
        <w:t>accommodation (other than self-contained units) specially designed for the aged, persons with a disability or children,</w:t>
      </w:r>
    </w:p>
    <w:p>
      <w:pPr>
        <w:pStyle w:val="CaselawQuote"/>
        <w:spacing w:before="150" w:after="150"/>
        <w:ind w:left="1350"/>
        <w:jc w:val="left"/>
      </w:pPr>
      <w:r>
        <w:rPr>
          <w:rFonts w:ascii="Arial"/>
          <w:color w:val="000000"/>
          <w:sz w:val="22"/>
        </w:rPr>
        <w:t>(e)</w:t>
      </w:r>
      <w:r>
        <w:rPr>
          <w:rFonts w:ascii="Arial"/>
          <w:color w:val="000000"/>
          <w:sz w:val="22"/>
        </w:rPr>
        <w:t>   </w:t>
      </w:r>
      <w:r>
        <w:rPr>
          <w:rFonts w:ascii="Arial"/>
          <w:color w:val="000000"/>
          <w:sz w:val="22"/>
        </w:rPr>
        <w:t>any residential part of a health care building that accommodates staff,</w:t>
      </w:r>
    </w:p>
    <w:p>
      <w:pPr>
        <w:pStyle w:val="CaselawQuote"/>
        <w:spacing w:before="150" w:after="150"/>
        <w:ind w:left="1350"/>
        <w:jc w:val="left"/>
      </w:pPr>
      <w:r>
        <w:rPr>
          <w:rFonts w:ascii="Arial"/>
          <w:color w:val="000000"/>
          <w:sz w:val="22"/>
        </w:rPr>
        <w:t>(f)</w:t>
      </w:r>
      <w:r>
        <w:rPr>
          <w:rFonts w:ascii="Arial"/>
          <w:color w:val="000000"/>
          <w:sz w:val="22"/>
        </w:rPr>
        <w:t>   </w:t>
      </w:r>
      <w:r>
        <w:rPr>
          <w:rFonts w:ascii="Arial"/>
          <w:color w:val="000000"/>
          <w:sz w:val="22"/>
        </w:rPr>
        <w:t>a house or unit designed, constructed or adapted for commercial use as tourist, holiday or overnight accommodation,</w:t>
      </w:r>
    </w:p>
    <w:p>
      <w:pPr>
        <w:pStyle w:val="CaselawQuote"/>
        <w:spacing w:before="150" w:after="150"/>
        <w:ind w:left="1350"/>
        <w:jc w:val="left"/>
      </w:pPr>
      <w:r>
        <w:rPr>
          <w:rFonts w:ascii="Arial"/>
          <w:color w:val="000000"/>
          <w:sz w:val="22"/>
        </w:rPr>
        <w:t>(g)</w:t>
      </w:r>
      <w:r>
        <w:rPr>
          <w:rFonts w:ascii="Arial"/>
          <w:color w:val="000000"/>
          <w:sz w:val="22"/>
        </w:rPr>
        <w:t>   </w:t>
      </w:r>
      <w:r>
        <w:rPr>
          <w:rFonts w:ascii="Arial"/>
          <w:color w:val="000000"/>
          <w:sz w:val="22"/>
        </w:rPr>
        <w:t>any part of a non-residential building that is constructed or adapted for use as a caretaker’s residence,</w:t>
      </w:r>
    </w:p>
    <w:p>
      <w:pPr>
        <w:pStyle w:val="CaselawQuote"/>
        <w:spacing w:before="150" w:after="150"/>
        <w:ind w:left="1350"/>
        <w:jc w:val="left"/>
      </w:pPr>
      <w:r>
        <w:rPr>
          <w:rFonts w:ascii="Arial"/>
          <w:color w:val="000000"/>
          <w:sz w:val="22"/>
        </w:rPr>
        <w:t>…</w:t>
      </w:r>
    </w:p>
    <w:p>
      <w:pPr>
        <w:pStyle w:val="CaselawNumbered10"/>
        <w:numPr>
          <w:ilvl w:val="0"/>
          <w:numId w:val="46"/>
        </w:numPr>
        <w:spacing w:before="150" w:after="0"/>
        <w:ind w:left="600" w:hanging="600"/>
      </w:pPr>
      <w:r>
        <w:rPr>
          <w:rFonts w:ascii="Arial"/>
          <w:color w:val="000000"/>
          <w:sz w:val="24"/>
        </w:rPr>
        <w:t>Portelli</w:t>
      </w:r>
      <w:r>
        <w:rPr>
          <w:rFonts w:ascii="Arial"/>
          <w:color w:val="000000"/>
          <w:sz w:val="24"/>
        </w:rPr>
        <w:t>’</w:t>
      </w:r>
      <w:r>
        <w:rPr>
          <w:rFonts w:ascii="Arial"/>
          <w:color w:val="000000"/>
          <w:sz w:val="24"/>
        </w:rPr>
        <w:t xml:space="preserve">s contention is that there is at least a triable issue that the buildings being constructed by Black Sheep pursuant to the Contract are </w:t>
      </w:r>
      <w:r>
        <w:rPr>
          <w:rFonts w:ascii="Arial"/>
          <w:color w:val="000000"/>
          <w:sz w:val="24"/>
        </w:rPr>
        <w:t>“</w:t>
      </w:r>
      <w:r>
        <w:rPr>
          <w:rFonts w:ascii="Arial"/>
          <w:color w:val="000000"/>
          <w:sz w:val="24"/>
        </w:rPr>
        <w:t>dwellings</w:t>
      </w:r>
      <w:r>
        <w:rPr>
          <w:rFonts w:ascii="Arial"/>
          <w:color w:val="000000"/>
          <w:sz w:val="24"/>
        </w:rPr>
        <w:t>”</w:t>
      </w:r>
      <w:r>
        <w:rPr>
          <w:rFonts w:ascii="Arial"/>
          <w:color w:val="000000"/>
          <w:sz w:val="24"/>
        </w:rPr>
        <w:t xml:space="preserve">, or contain </w:t>
      </w:r>
      <w:r>
        <w:rPr>
          <w:rFonts w:ascii="Arial"/>
          <w:color w:val="000000"/>
          <w:sz w:val="24"/>
        </w:rPr>
        <w:t>“</w:t>
      </w:r>
      <w:r>
        <w:rPr>
          <w:rFonts w:ascii="Arial"/>
          <w:color w:val="000000"/>
          <w:sz w:val="24"/>
        </w:rPr>
        <w:t>dwellings</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 xml:space="preserve">according to this statutory definition. Portelli accepts, as it must, that the Contract provides for the construction of accommodation specially designed for persons with a disability, </w:t>
      </w:r>
      <w:r>
        <w:rPr>
          <w:rFonts w:ascii="Arial"/>
          <w:color w:val="000000"/>
          <w:sz w:val="24"/>
        </w:rPr>
        <w:t>so as to</w:t>
      </w:r>
      <w:r>
        <w:rPr>
          <w:rFonts w:ascii="Arial"/>
          <w:color w:val="000000"/>
          <w:sz w:val="24"/>
        </w:rPr>
        <w:t xml:space="preserve"> </w:t>
      </w:r>
      <w:r>
        <w:rPr>
          <w:rFonts w:ascii="Arial"/>
          <w:color w:val="000000"/>
          <w:sz w:val="24"/>
        </w:rPr>
        <w:t xml:space="preserve">prima facie engage the exception in </w:t>
      </w:r>
      <w:r>
        <w:rPr>
          <w:rFonts w:ascii="Arial"/>
          <w:color w:val="000000"/>
          <w:sz w:val="24"/>
        </w:rPr>
        <w:t>cl</w:t>
      </w:r>
      <w:r>
        <w:rPr>
          <w:rFonts w:ascii="Arial"/>
          <w:color w:val="000000"/>
          <w:sz w:val="24"/>
        </w:rPr>
        <w:t xml:space="preserve"> </w:t>
      </w:r>
      <w:r>
        <w:rPr>
          <w:rFonts w:ascii="Arial"/>
          <w:color w:val="000000"/>
          <w:sz w:val="24"/>
        </w:rPr>
        <w:t xml:space="preserve">3(3)(d) of the </w:t>
      </w:r>
      <w:r>
        <w:rPr>
          <w:rFonts w:ascii="Arial"/>
          <w:i/>
          <w:color w:val="000000"/>
          <w:sz w:val="24"/>
        </w:rPr>
        <w:t>Home Building Act</w:t>
      </w:r>
      <w:r>
        <w:rPr>
          <w:rFonts w:ascii="Arial"/>
          <w:color w:val="000000"/>
          <w:sz w:val="24"/>
        </w:rPr>
        <w:t xml:space="preserve">. Portelli nevertheless contends that there is a triable issue that the exception does not apply, on the basis that the Contract provides for the construction of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That is, Portelli invokes the exception to the exclusion in cl 3(3)(d), created by the words in parentheses.</w:t>
      </w:r>
    </w:p>
    <w:p>
      <w:pPr>
        <w:pStyle w:val="CaselawNumbered10"/>
        <w:numPr>
          <w:ilvl w:val="0"/>
          <w:numId w:val="46"/>
        </w:numPr>
        <w:spacing w:before="150" w:after="0"/>
        <w:ind w:left="600" w:hanging="600"/>
      </w:pPr>
      <w:r>
        <w:rPr>
          <w:rFonts w:ascii="Arial"/>
          <w:color w:val="000000"/>
          <w:sz w:val="24"/>
        </w:rPr>
        <w:t xml:space="preserve">The </w:t>
      </w:r>
      <w:r>
        <w:rPr>
          <w:rFonts w:ascii="Arial"/>
          <w:i/>
          <w:color w:val="000000"/>
          <w:sz w:val="24"/>
        </w:rPr>
        <w:t xml:space="preserve">Home Building Act </w:t>
      </w:r>
      <w:r>
        <w:rPr>
          <w:rFonts w:ascii="Arial"/>
          <w:color w:val="000000"/>
          <w:sz w:val="24"/>
        </w:rPr>
        <w:t xml:space="preserve">does not define </w:t>
      </w:r>
      <w:r>
        <w:rPr>
          <w:rFonts w:ascii="Arial"/>
          <w:color w:val="000000"/>
          <w:sz w:val="24"/>
        </w:rPr>
        <w:t>“</w:t>
      </w:r>
      <w:r>
        <w:rPr>
          <w:rFonts w:ascii="Arial"/>
          <w:color w:val="000000"/>
          <w:sz w:val="24"/>
        </w:rPr>
        <w:t>self-contained</w:t>
      </w:r>
      <w:r>
        <w:rPr>
          <w:rFonts w:ascii="Arial"/>
          <w:color w:val="000000"/>
          <w:sz w:val="24"/>
        </w:rPr>
        <w:t xml:space="preserve">” </w:t>
      </w:r>
      <w:r>
        <w:rPr>
          <w:rFonts w:ascii="Arial"/>
          <w:color w:val="000000"/>
          <w:sz w:val="24"/>
        </w:rPr>
        <w:t xml:space="preserve">or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There are no other references in the Act to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Where other provisions of the Act refer to </w:t>
      </w:r>
      <w:r>
        <w:rPr>
          <w:rFonts w:ascii="Arial"/>
          <w:color w:val="000000"/>
          <w:sz w:val="24"/>
        </w:rPr>
        <w:t>“</w:t>
      </w:r>
      <w:r>
        <w:rPr>
          <w:rFonts w:ascii="Arial"/>
          <w:color w:val="000000"/>
          <w:sz w:val="24"/>
        </w:rPr>
        <w:t>unit</w:t>
      </w:r>
      <w:r>
        <w:rPr>
          <w:rFonts w:ascii="Arial"/>
          <w:color w:val="000000"/>
          <w:sz w:val="24"/>
        </w:rPr>
        <w:t xml:space="preserve">” </w:t>
      </w:r>
      <w:r>
        <w:rPr>
          <w:rFonts w:ascii="Arial"/>
          <w:color w:val="000000"/>
          <w:sz w:val="24"/>
        </w:rPr>
        <w:t xml:space="preserve">or </w:t>
      </w:r>
      <w:r>
        <w:rPr>
          <w:rFonts w:ascii="Arial"/>
          <w:color w:val="000000"/>
          <w:sz w:val="24"/>
        </w:rPr>
        <w:t>“</w:t>
      </w:r>
      <w:r>
        <w:rPr>
          <w:rFonts w:ascii="Arial"/>
          <w:color w:val="000000"/>
          <w:sz w:val="24"/>
        </w:rPr>
        <w:t>units</w:t>
      </w:r>
      <w:r>
        <w:rPr>
          <w:rFonts w:ascii="Arial"/>
          <w:color w:val="000000"/>
          <w:sz w:val="24"/>
        </w:rPr>
        <w:t xml:space="preserve">” </w:t>
      </w:r>
      <w:r>
        <w:rPr>
          <w:rFonts w:ascii="Arial"/>
          <w:color w:val="000000"/>
          <w:sz w:val="24"/>
        </w:rPr>
        <w:t xml:space="preserve">as a form of accommodation, it is apparent from the context that it is intended to be a reference to a form of dwelling akin to an apartment. For example, cl 3(3)(f) provides that another form of accommodation excluded from the definition of </w:t>
      </w:r>
      <w:r>
        <w:rPr>
          <w:rFonts w:ascii="Arial"/>
          <w:color w:val="000000"/>
          <w:sz w:val="24"/>
        </w:rPr>
        <w:t>“</w:t>
      </w:r>
      <w:r>
        <w:rPr>
          <w:rFonts w:ascii="Arial"/>
          <w:color w:val="000000"/>
          <w:sz w:val="24"/>
        </w:rPr>
        <w:t>dwelling</w:t>
      </w:r>
      <w:r>
        <w:rPr>
          <w:rFonts w:ascii="Arial"/>
          <w:color w:val="000000"/>
          <w:sz w:val="24"/>
        </w:rPr>
        <w:t xml:space="preserve">” </w:t>
      </w:r>
      <w:r>
        <w:rPr>
          <w:rFonts w:ascii="Arial"/>
          <w:color w:val="000000"/>
          <w:sz w:val="24"/>
        </w:rPr>
        <w:t xml:space="preserve">is </w:t>
      </w:r>
      <w:r>
        <w:rPr>
          <w:rFonts w:ascii="Arial"/>
          <w:color w:val="000000"/>
          <w:sz w:val="24"/>
        </w:rPr>
        <w:t>“</w:t>
      </w:r>
      <w:r>
        <w:rPr>
          <w:rFonts w:ascii="Arial"/>
          <w:color w:val="000000"/>
          <w:sz w:val="24"/>
        </w:rPr>
        <w:t>a house or unit designed, constructed or adapted for commercial use as tourist, holiday or overnight accommodation</w:t>
      </w:r>
      <w:r>
        <w:rPr>
          <w:rFonts w:ascii="Arial"/>
          <w:color w:val="000000"/>
          <w:sz w:val="24"/>
        </w:rPr>
        <w:t>”</w:t>
      </w:r>
      <w:r>
        <w:rPr>
          <w:rFonts w:ascii="Arial"/>
          <w:color w:val="000000"/>
          <w:sz w:val="24"/>
        </w:rPr>
        <w:t xml:space="preserve">. </w:t>
      </w:r>
      <w:r>
        <w:rPr>
          <w:rFonts w:ascii="Arial"/>
          <w:color w:val="000000"/>
          <w:sz w:val="24"/>
        </w:rPr>
        <w:t xml:space="preserve">That accords with the ordinary </w:t>
      </w:r>
      <w:r>
        <w:rPr>
          <w:rFonts w:ascii="Arial"/>
          <w:color w:val="000000"/>
          <w:sz w:val="24"/>
        </w:rPr>
        <w:t xml:space="preserve">usage of </w:t>
      </w:r>
      <w:r>
        <w:rPr>
          <w:rFonts w:ascii="Arial"/>
          <w:color w:val="000000"/>
          <w:sz w:val="24"/>
        </w:rPr>
        <w:t>“</w:t>
      </w:r>
      <w:r>
        <w:rPr>
          <w:rFonts w:ascii="Arial"/>
          <w:color w:val="000000"/>
          <w:sz w:val="24"/>
        </w:rPr>
        <w:t>unit</w:t>
      </w:r>
      <w:r>
        <w:rPr>
          <w:rFonts w:ascii="Arial"/>
          <w:color w:val="000000"/>
          <w:sz w:val="24"/>
        </w:rPr>
        <w:t xml:space="preserve">” </w:t>
      </w:r>
      <w:r>
        <w:rPr>
          <w:rFonts w:ascii="Arial"/>
          <w:color w:val="000000"/>
          <w:sz w:val="24"/>
        </w:rPr>
        <w:t xml:space="preserve">in the context of describing forms of accommodation. </w:t>
      </w:r>
    </w:p>
    <w:p>
      <w:pPr>
        <w:pStyle w:val="CaselawNumbered10"/>
        <w:numPr>
          <w:ilvl w:val="0"/>
          <w:numId w:val="46"/>
        </w:numPr>
        <w:spacing w:before="150" w:after="0"/>
        <w:ind w:left="600" w:hanging="600"/>
      </w:pPr>
      <w:r>
        <w:rPr>
          <w:rFonts w:ascii="Arial"/>
          <w:color w:val="000000"/>
          <w:sz w:val="24"/>
        </w:rPr>
        <w:t xml:space="preserve">Portelli puts the argument in two alternative ways. The first is that </w:t>
      </w:r>
      <w:r>
        <w:rPr>
          <w:rFonts w:ascii="Arial"/>
          <w:color w:val="000000"/>
          <w:sz w:val="24"/>
        </w:rPr>
        <w:t xml:space="preserve">each of the four </w:t>
      </w:r>
      <w:r>
        <w:rPr>
          <w:rFonts w:ascii="Arial"/>
          <w:color w:val="000000"/>
          <w:sz w:val="24"/>
        </w:rPr>
        <w:t xml:space="preserve">buildings to be constructed under the Contract, characterised on </w:t>
      </w:r>
      <w:r>
        <w:rPr>
          <w:rFonts w:ascii="Arial"/>
          <w:color w:val="000000"/>
          <w:sz w:val="24"/>
        </w:rPr>
        <w:t>a</w:t>
      </w:r>
      <w:r>
        <w:rPr>
          <w:rFonts w:ascii="Arial"/>
          <w:color w:val="000000"/>
          <w:sz w:val="24"/>
        </w:rPr>
        <w:t xml:space="preserve"> </w:t>
      </w:r>
      <w:r>
        <w:rPr>
          <w:rFonts w:ascii="Arial"/>
          <w:color w:val="000000"/>
          <w:sz w:val="24"/>
        </w:rPr>
        <w:t xml:space="preserve">whole of building basis, </w:t>
      </w:r>
      <w:r>
        <w:rPr>
          <w:rFonts w:ascii="Arial"/>
          <w:color w:val="000000"/>
          <w:sz w:val="24"/>
        </w:rPr>
        <w:t xml:space="preserve">is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w:t>
      </w:r>
      <w:r>
        <w:rPr>
          <w:rFonts w:ascii="Arial"/>
          <w:color w:val="000000"/>
          <w:sz w:val="24"/>
        </w:rPr>
        <w:t xml:space="preserve">The second is that </w:t>
      </w:r>
      <w:r>
        <w:rPr>
          <w:rFonts w:ascii="Arial"/>
          <w:color w:val="000000"/>
          <w:sz w:val="24"/>
        </w:rPr>
        <w:t>each building</w:t>
      </w:r>
      <w:r>
        <w:rPr>
          <w:rFonts w:ascii="Arial"/>
          <w:color w:val="000000"/>
          <w:sz w:val="24"/>
        </w:rPr>
        <w:t xml:space="preserve"> </w:t>
      </w:r>
      <w:r>
        <w:rPr>
          <w:rFonts w:ascii="Arial"/>
          <w:color w:val="000000"/>
          <w:sz w:val="24"/>
        </w:rPr>
        <w:t>contain</w:t>
      </w:r>
      <w:r>
        <w:rPr>
          <w:rFonts w:ascii="Arial"/>
          <w:color w:val="000000"/>
          <w:sz w:val="24"/>
        </w:rPr>
        <w:t>s</w:t>
      </w:r>
      <w:r>
        <w:rPr>
          <w:rFonts w:ascii="Arial"/>
          <w:color w:val="000000"/>
          <w:sz w:val="24"/>
        </w:rPr>
        <w:t xml:space="preserve">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in the form of the </w:t>
      </w:r>
      <w:r>
        <w:rPr>
          <w:rFonts w:ascii="Arial"/>
          <w:color w:val="000000"/>
          <w:sz w:val="24"/>
        </w:rPr>
        <w:t xml:space="preserve">five </w:t>
      </w:r>
      <w:r>
        <w:rPr>
          <w:rFonts w:ascii="Arial"/>
          <w:color w:val="000000"/>
          <w:sz w:val="24"/>
        </w:rPr>
        <w:t xml:space="preserve">bedrooms occupied by the residents. </w:t>
      </w:r>
    </w:p>
    <w:p>
      <w:pPr>
        <w:pStyle w:val="CaselawNumbered10"/>
        <w:numPr>
          <w:ilvl w:val="0"/>
          <w:numId w:val="46"/>
        </w:numPr>
        <w:spacing w:before="150" w:after="0"/>
        <w:ind w:left="600" w:hanging="600"/>
      </w:pPr>
      <w:r>
        <w:rPr>
          <w:rFonts w:ascii="Arial"/>
          <w:color w:val="000000"/>
          <w:sz w:val="24"/>
        </w:rPr>
        <w:t xml:space="preserve">Neither of these arguments </w:t>
      </w:r>
      <w:r>
        <w:rPr>
          <w:rFonts w:ascii="Arial"/>
          <w:color w:val="000000"/>
          <w:sz w:val="24"/>
        </w:rPr>
        <w:t>gives rise to</w:t>
      </w:r>
      <w:r>
        <w:rPr>
          <w:rFonts w:ascii="Arial"/>
          <w:color w:val="000000"/>
          <w:sz w:val="24"/>
        </w:rPr>
        <w:t xml:space="preserve"> </w:t>
      </w:r>
      <w:r>
        <w:rPr>
          <w:rFonts w:ascii="Arial"/>
          <w:color w:val="000000"/>
          <w:sz w:val="24"/>
        </w:rPr>
        <w:t>a serious triable issue. The first approach involves characterising a building that houses f</w:t>
      </w:r>
      <w:r>
        <w:rPr>
          <w:rFonts w:ascii="Arial"/>
          <w:color w:val="000000"/>
          <w:sz w:val="24"/>
        </w:rPr>
        <w:t>ive</w:t>
      </w:r>
      <w:r>
        <w:rPr>
          <w:rFonts w:ascii="Arial"/>
          <w:color w:val="000000"/>
          <w:sz w:val="24"/>
        </w:rPr>
        <w:t xml:space="preserve"> </w:t>
      </w:r>
      <w:r>
        <w:rPr>
          <w:rFonts w:ascii="Arial"/>
          <w:color w:val="000000"/>
          <w:sz w:val="24"/>
        </w:rPr>
        <w:t>disabled residents, plus nurses in their quarters</w:t>
      </w:r>
      <w:r>
        <w:rPr>
          <w:rFonts w:ascii="Arial"/>
          <w:color w:val="000000"/>
          <w:sz w:val="24"/>
        </w:rPr>
        <w:t xml:space="preserve"> </w:t>
      </w:r>
      <w:r>
        <w:rPr>
          <w:rFonts w:ascii="Arial"/>
          <w:color w:val="000000"/>
          <w:sz w:val="24"/>
        </w:rPr>
        <w:t>and</w:t>
      </w:r>
      <w:r>
        <w:rPr>
          <w:rFonts w:ascii="Arial"/>
          <w:color w:val="000000"/>
          <w:sz w:val="24"/>
        </w:rPr>
        <w:t xml:space="preserve"> </w:t>
      </w:r>
      <w:r>
        <w:rPr>
          <w:rFonts w:ascii="Arial"/>
          <w:color w:val="000000"/>
          <w:sz w:val="24"/>
        </w:rPr>
        <w:t xml:space="preserve">various common shared facilities, </w:t>
      </w:r>
      <w:r>
        <w:rPr>
          <w:rFonts w:ascii="Arial"/>
          <w:color w:val="000000"/>
          <w:sz w:val="24"/>
        </w:rPr>
        <w:t xml:space="preserve">as a </w:t>
      </w:r>
      <w:r>
        <w:rPr>
          <w:rFonts w:ascii="Arial"/>
          <w:color w:val="000000"/>
          <w:sz w:val="24"/>
        </w:rPr>
        <w:t xml:space="preserve">single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That is a highly unlikely characterisation</w:t>
      </w:r>
      <w:r>
        <w:rPr>
          <w:rFonts w:ascii="Arial"/>
          <w:color w:val="000000"/>
          <w:sz w:val="24"/>
        </w:rPr>
        <w:t>, premised on an improbable construction of the words used in cl 3(3)(d)</w:t>
      </w:r>
      <w:r>
        <w:rPr>
          <w:rFonts w:ascii="Arial"/>
          <w:color w:val="000000"/>
          <w:sz w:val="24"/>
        </w:rPr>
        <w:t xml:space="preserve">. </w:t>
      </w:r>
      <w:r>
        <w:rPr>
          <w:rFonts w:ascii="Arial"/>
          <w:color w:val="000000"/>
          <w:sz w:val="24"/>
        </w:rPr>
        <w:t>As a matter of statutory construction, i</w:t>
      </w:r>
      <w:r>
        <w:rPr>
          <w:rFonts w:ascii="Arial"/>
          <w:color w:val="000000"/>
          <w:sz w:val="24"/>
        </w:rPr>
        <w:t xml:space="preserve">t does not accord with any accepted conception of a residential </w:t>
      </w:r>
      <w:r>
        <w:rPr>
          <w:rFonts w:ascii="Arial"/>
          <w:color w:val="000000"/>
          <w:sz w:val="24"/>
        </w:rPr>
        <w:t>“</w:t>
      </w:r>
      <w:r>
        <w:rPr>
          <w:rFonts w:ascii="Arial"/>
          <w:color w:val="000000"/>
          <w:sz w:val="24"/>
        </w:rPr>
        <w:t>unit</w:t>
      </w:r>
      <w:r>
        <w:rPr>
          <w:rFonts w:ascii="Arial"/>
          <w:color w:val="000000"/>
          <w:sz w:val="24"/>
        </w:rPr>
        <w:t>”</w:t>
      </w:r>
      <w:r>
        <w:rPr>
          <w:rFonts w:ascii="Arial"/>
          <w:color w:val="000000"/>
          <w:sz w:val="24"/>
        </w:rPr>
        <w:t xml:space="preserve">. For </w:t>
      </w:r>
      <w:r>
        <w:rPr>
          <w:rFonts w:ascii="Arial"/>
          <w:color w:val="000000"/>
          <w:sz w:val="24"/>
        </w:rPr>
        <w:t>each</w:t>
      </w:r>
      <w:r>
        <w:rPr>
          <w:rFonts w:ascii="Arial"/>
          <w:color w:val="000000"/>
          <w:sz w:val="24"/>
        </w:rPr>
        <w:t xml:space="preserve"> </w:t>
      </w:r>
      <w:r>
        <w:rPr>
          <w:rFonts w:ascii="Arial"/>
          <w:color w:val="000000"/>
          <w:sz w:val="24"/>
        </w:rPr>
        <w:t xml:space="preserve">of the disabled residents, the building is not self-contained for </w:t>
      </w:r>
      <w:r>
        <w:rPr>
          <w:rFonts w:ascii="Arial"/>
          <w:color w:val="000000"/>
          <w:sz w:val="24"/>
        </w:rPr>
        <w:t>his or her</w:t>
      </w:r>
      <w:r>
        <w:rPr>
          <w:rFonts w:ascii="Arial"/>
          <w:color w:val="000000"/>
          <w:sz w:val="24"/>
        </w:rPr>
        <w:t xml:space="preserve"> </w:t>
      </w:r>
      <w:r>
        <w:rPr>
          <w:rFonts w:ascii="Arial"/>
          <w:color w:val="000000"/>
          <w:sz w:val="24"/>
        </w:rPr>
        <w:t xml:space="preserve">exclusive </w:t>
      </w:r>
      <w:r>
        <w:rPr>
          <w:rFonts w:ascii="Arial"/>
          <w:color w:val="000000"/>
          <w:sz w:val="24"/>
        </w:rPr>
        <w:t>use, but features facilities shared with other</w:t>
      </w:r>
      <w:r>
        <w:rPr>
          <w:rFonts w:ascii="Arial"/>
          <w:color w:val="000000"/>
          <w:sz w:val="24"/>
        </w:rPr>
        <w:t xml:space="preserve"> </w:t>
      </w:r>
      <w:r>
        <w:rPr>
          <w:rFonts w:ascii="Arial"/>
          <w:color w:val="000000"/>
          <w:sz w:val="24"/>
        </w:rPr>
        <w:t xml:space="preserve">residents (not being part of the same family group), </w:t>
      </w:r>
      <w:r>
        <w:rPr>
          <w:rFonts w:ascii="Arial"/>
          <w:color w:val="000000"/>
          <w:sz w:val="24"/>
        </w:rPr>
        <w:t>including nurses</w:t>
      </w:r>
      <w:r>
        <w:rPr>
          <w:rFonts w:ascii="Arial"/>
          <w:color w:val="000000"/>
          <w:sz w:val="24"/>
        </w:rPr>
        <w:t xml:space="preserve"> </w:t>
      </w:r>
      <w:r>
        <w:rPr>
          <w:rFonts w:ascii="Arial"/>
          <w:color w:val="000000"/>
          <w:sz w:val="24"/>
        </w:rPr>
        <w:t>who occupy the nurses</w:t>
      </w:r>
      <w:r>
        <w:rPr>
          <w:rFonts w:ascii="Arial"/>
          <w:color w:val="000000"/>
          <w:sz w:val="24"/>
        </w:rPr>
        <w:t>’</w:t>
      </w:r>
      <w:r>
        <w:rPr>
          <w:rFonts w:ascii="Arial"/>
          <w:color w:val="000000"/>
          <w:sz w:val="24"/>
        </w:rPr>
        <w:t xml:space="preserve"> </w:t>
      </w:r>
      <w:r>
        <w:rPr>
          <w:rFonts w:ascii="Arial"/>
          <w:color w:val="000000"/>
          <w:sz w:val="24"/>
        </w:rPr>
        <w:t>quarters from time to time</w:t>
      </w:r>
      <w:r>
        <w:rPr>
          <w:rFonts w:ascii="Arial"/>
          <w:color w:val="000000"/>
          <w:sz w:val="24"/>
        </w:rPr>
        <w:t xml:space="preserve">. </w:t>
      </w:r>
      <w:r>
        <w:rPr>
          <w:rFonts w:ascii="Arial"/>
          <w:color w:val="000000"/>
          <w:sz w:val="24"/>
        </w:rPr>
        <w:t xml:space="preserve">This is not analogous to a family sharing a single residential unit, or a group of residents in a shared unit. The better analogy is with institutional forms of accommodation, such as residential colleges and boarding houses. </w:t>
      </w:r>
      <w:r>
        <w:rPr>
          <w:rFonts w:ascii="Arial"/>
          <w:color w:val="000000"/>
          <w:sz w:val="24"/>
        </w:rPr>
        <w:t>As a form of accommodation for residents, a building that contains i</w:t>
      </w:r>
      <w:r>
        <w:rPr>
          <w:rFonts w:ascii="Arial"/>
          <w:color w:val="000000"/>
          <w:sz w:val="24"/>
        </w:rPr>
        <w:t xml:space="preserve">nstitutional accommodation of that kind </w:t>
      </w:r>
      <w:r>
        <w:rPr>
          <w:rFonts w:ascii="Arial"/>
          <w:color w:val="000000"/>
          <w:sz w:val="24"/>
        </w:rPr>
        <w:t xml:space="preserve">cannot be described as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w:t>
      </w:r>
    </w:p>
    <w:p>
      <w:pPr>
        <w:pStyle w:val="CaselawNumbered10"/>
        <w:numPr>
          <w:ilvl w:val="0"/>
          <w:numId w:val="46"/>
        </w:numPr>
        <w:spacing w:before="150" w:after="0"/>
        <w:ind w:left="600" w:hanging="600"/>
      </w:pPr>
      <w:r>
        <w:rPr>
          <w:rFonts w:ascii="Arial"/>
          <w:color w:val="000000"/>
          <w:sz w:val="24"/>
        </w:rPr>
        <w:t xml:space="preserve">Moreover, </w:t>
      </w:r>
      <w:r>
        <w:rPr>
          <w:rFonts w:ascii="Arial"/>
          <w:color w:val="000000"/>
          <w:sz w:val="24"/>
        </w:rPr>
        <w:t>Portelli</w:t>
      </w:r>
      <w:r>
        <w:rPr>
          <w:rFonts w:ascii="Arial"/>
          <w:color w:val="000000"/>
          <w:sz w:val="24"/>
        </w:rPr>
        <w:t>’</w:t>
      </w:r>
      <w:r>
        <w:rPr>
          <w:rFonts w:ascii="Arial"/>
          <w:color w:val="000000"/>
          <w:sz w:val="24"/>
        </w:rPr>
        <w:t>s</w:t>
      </w:r>
      <w:r>
        <w:rPr>
          <w:rFonts w:ascii="Arial"/>
          <w:color w:val="000000"/>
          <w:sz w:val="24"/>
        </w:rPr>
        <w:t xml:space="preserve"> </w:t>
      </w:r>
      <w:r>
        <w:rPr>
          <w:rFonts w:ascii="Arial"/>
          <w:color w:val="000000"/>
          <w:sz w:val="24"/>
        </w:rPr>
        <w:t xml:space="preserve">approach </w:t>
      </w:r>
      <w:r>
        <w:rPr>
          <w:rFonts w:ascii="Arial"/>
          <w:color w:val="000000"/>
          <w:sz w:val="24"/>
        </w:rPr>
        <w:t>to interpretation of the exception in cl</w:t>
      </w:r>
      <w:r>
        <w:rPr>
          <w:rFonts w:ascii="Arial"/>
          <w:color w:val="000000"/>
          <w:sz w:val="24"/>
        </w:rPr>
        <w:t> </w:t>
      </w:r>
      <w:r>
        <w:rPr>
          <w:rFonts w:ascii="Arial"/>
          <w:color w:val="000000"/>
          <w:sz w:val="24"/>
        </w:rPr>
        <w:t>3(3)(d) is impossible to reconcile with the</w:t>
      </w:r>
      <w:r>
        <w:rPr>
          <w:rFonts w:ascii="Arial"/>
          <w:color w:val="000000"/>
          <w:sz w:val="24"/>
        </w:rPr>
        <w:t xml:space="preserve"> </w:t>
      </w:r>
      <w:r>
        <w:rPr>
          <w:rFonts w:ascii="Arial"/>
          <w:color w:val="000000"/>
          <w:sz w:val="24"/>
        </w:rPr>
        <w:t>statutory context. G</w:t>
      </w:r>
      <w:r>
        <w:rPr>
          <w:rFonts w:ascii="Arial"/>
          <w:color w:val="000000"/>
          <w:sz w:val="24"/>
        </w:rPr>
        <w:t xml:space="preserve">iving such an expansive operation to the </w:t>
      </w:r>
      <w:r>
        <w:rPr>
          <w:rFonts w:ascii="Arial"/>
          <w:color w:val="000000"/>
          <w:sz w:val="24"/>
        </w:rPr>
        <w:t xml:space="preserve">exception created by the </w:t>
      </w:r>
      <w:r>
        <w:rPr>
          <w:rFonts w:ascii="Arial"/>
          <w:color w:val="000000"/>
          <w:sz w:val="24"/>
        </w:rPr>
        <w:t xml:space="preserve">words in parentheses </w:t>
      </w:r>
      <w:r>
        <w:rPr>
          <w:rFonts w:ascii="Arial"/>
          <w:color w:val="000000"/>
          <w:sz w:val="24"/>
        </w:rPr>
        <w:t xml:space="preserve">– </w:t>
      </w:r>
      <w:r>
        <w:rPr>
          <w:rFonts w:ascii="Arial"/>
          <w:color w:val="000000"/>
          <w:sz w:val="24"/>
        </w:rPr>
        <w:t xml:space="preserve">self-contained units </w:t>
      </w:r>
      <w:r>
        <w:rPr>
          <w:rFonts w:ascii="Arial"/>
          <w:color w:val="000000"/>
          <w:sz w:val="24"/>
        </w:rPr>
        <w:t xml:space="preserve">– </w:t>
      </w:r>
      <w:r>
        <w:rPr>
          <w:rFonts w:ascii="Arial"/>
          <w:color w:val="000000"/>
          <w:sz w:val="24"/>
        </w:rPr>
        <w:t xml:space="preserve">would mean that the exclusion </w:t>
      </w:r>
      <w:r>
        <w:rPr>
          <w:rFonts w:ascii="Arial"/>
          <w:color w:val="000000"/>
          <w:sz w:val="24"/>
        </w:rPr>
        <w:t xml:space="preserve">itself </w:t>
      </w:r>
      <w:r>
        <w:rPr>
          <w:rFonts w:ascii="Arial"/>
          <w:color w:val="000000"/>
          <w:sz w:val="24"/>
        </w:rPr>
        <w:t xml:space="preserve">in cl 3(3)(d) would have no real work to do. </w:t>
      </w:r>
      <w:r>
        <w:rPr>
          <w:rFonts w:ascii="Arial"/>
          <w:color w:val="000000"/>
          <w:sz w:val="24"/>
        </w:rPr>
        <w:t xml:space="preserve">Two clear conclusions can be drawn from the statutory context. One is that </w:t>
      </w:r>
      <w:r>
        <w:rPr>
          <w:rFonts w:ascii="Arial"/>
          <w:color w:val="000000"/>
          <w:sz w:val="24"/>
        </w:rPr>
        <w:t xml:space="preserve">there may be </w:t>
      </w:r>
      <w:r>
        <w:rPr>
          <w:rFonts w:ascii="Arial"/>
          <w:color w:val="000000"/>
          <w:sz w:val="24"/>
        </w:rPr>
        <w:t xml:space="preserve">forms of accommodation that are </w:t>
      </w:r>
      <w:r>
        <w:rPr>
          <w:rFonts w:ascii="Arial"/>
          <w:color w:val="000000"/>
          <w:sz w:val="24"/>
        </w:rPr>
        <w:t>“</w:t>
      </w:r>
      <w:r>
        <w:rPr>
          <w:rFonts w:ascii="Arial"/>
          <w:color w:val="000000"/>
          <w:sz w:val="24"/>
        </w:rPr>
        <w:t>self-contained units</w:t>
      </w:r>
      <w:r>
        <w:rPr>
          <w:rFonts w:ascii="Arial"/>
          <w:color w:val="000000"/>
          <w:sz w:val="24"/>
        </w:rPr>
        <w:t xml:space="preserve">” </w:t>
      </w:r>
      <w:r>
        <w:rPr>
          <w:rFonts w:ascii="Arial"/>
          <w:color w:val="000000"/>
          <w:sz w:val="24"/>
        </w:rPr>
        <w:t>specially designed for the aged, persons with a disability or children</w:t>
      </w:r>
      <w:r>
        <w:rPr>
          <w:rFonts w:ascii="Arial"/>
          <w:color w:val="000000"/>
          <w:sz w:val="24"/>
        </w:rPr>
        <w:t>. The second is that</w:t>
      </w:r>
      <w:r>
        <w:rPr>
          <w:rFonts w:ascii="Arial"/>
          <w:color w:val="000000"/>
          <w:sz w:val="24"/>
        </w:rPr>
        <w:t xml:space="preserve"> </w:t>
      </w:r>
      <w:r>
        <w:rPr>
          <w:rFonts w:ascii="Arial"/>
          <w:color w:val="000000"/>
          <w:sz w:val="24"/>
        </w:rPr>
        <w:t>such units are a subset of a broader class of accommodation specially designed for such people. On the applicant</w:t>
      </w:r>
      <w:r>
        <w:rPr>
          <w:rFonts w:ascii="Arial"/>
          <w:color w:val="000000"/>
          <w:sz w:val="24"/>
        </w:rPr>
        <w:t>’</w:t>
      </w:r>
      <w:r>
        <w:rPr>
          <w:rFonts w:ascii="Arial"/>
          <w:color w:val="000000"/>
          <w:sz w:val="24"/>
        </w:rPr>
        <w:t xml:space="preserve">s construction, a </w:t>
      </w:r>
      <w:r>
        <w:rPr>
          <w:rFonts w:ascii="Arial"/>
          <w:color w:val="000000"/>
          <w:sz w:val="24"/>
        </w:rPr>
        <w:t xml:space="preserve">building that is specially designed to accommodate multiple disabled residents, living in separate bedrooms but with shared common facilities, is itself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On that approach, the label of </w:t>
      </w:r>
      <w:r>
        <w:rPr>
          <w:rFonts w:ascii="Arial"/>
          <w:color w:val="000000"/>
          <w:sz w:val="24"/>
        </w:rPr>
        <w:t>“</w:t>
      </w:r>
      <w:r>
        <w:rPr>
          <w:rFonts w:ascii="Arial"/>
          <w:color w:val="000000"/>
          <w:sz w:val="24"/>
        </w:rPr>
        <w:t>self-contained units</w:t>
      </w:r>
      <w:r>
        <w:rPr>
          <w:rFonts w:ascii="Arial"/>
          <w:color w:val="000000"/>
          <w:sz w:val="24"/>
        </w:rPr>
        <w:t xml:space="preserve">” </w:t>
      </w:r>
      <w:r>
        <w:rPr>
          <w:rFonts w:ascii="Arial"/>
          <w:color w:val="000000"/>
          <w:sz w:val="24"/>
        </w:rPr>
        <w:t>is apt to apply to all, or practically all</w:t>
      </w:r>
      <w:r>
        <w:rPr>
          <w:rFonts w:ascii="Arial"/>
          <w:color w:val="000000"/>
          <w:sz w:val="24"/>
        </w:rPr>
        <w:t>,</w:t>
      </w:r>
      <w:r>
        <w:rPr>
          <w:rFonts w:ascii="Arial"/>
          <w:color w:val="000000"/>
          <w:sz w:val="24"/>
        </w:rPr>
        <w:t xml:space="preserve"> </w:t>
      </w:r>
      <w:r>
        <w:rPr>
          <w:rFonts w:ascii="Arial"/>
          <w:color w:val="000000"/>
          <w:sz w:val="24"/>
        </w:rPr>
        <w:t>accommodation specially designed for persons with a disability. T</w:t>
      </w:r>
      <w:r>
        <w:rPr>
          <w:rFonts w:ascii="Arial"/>
          <w:color w:val="000000"/>
          <w:sz w:val="24"/>
        </w:rPr>
        <w:t>he exc</w:t>
      </w:r>
      <w:r>
        <w:rPr>
          <w:rFonts w:ascii="Arial"/>
          <w:color w:val="000000"/>
          <w:sz w:val="24"/>
        </w:rPr>
        <w:t>eption</w:t>
      </w:r>
      <w:r>
        <w:rPr>
          <w:rFonts w:ascii="Arial"/>
          <w:color w:val="000000"/>
          <w:sz w:val="24"/>
        </w:rPr>
        <w:t xml:space="preserve"> </w:t>
      </w:r>
      <w:r>
        <w:rPr>
          <w:rFonts w:ascii="Arial"/>
          <w:color w:val="000000"/>
          <w:sz w:val="24"/>
        </w:rPr>
        <w:t>to the exclusion</w:t>
      </w:r>
      <w:r>
        <w:rPr>
          <w:rFonts w:ascii="Arial"/>
          <w:color w:val="000000"/>
          <w:sz w:val="24"/>
        </w:rPr>
        <w:t xml:space="preserve"> </w:t>
      </w:r>
      <w:r>
        <w:rPr>
          <w:rFonts w:ascii="Arial"/>
          <w:color w:val="000000"/>
          <w:sz w:val="24"/>
        </w:rPr>
        <w:t xml:space="preserve">would </w:t>
      </w:r>
      <w:r>
        <w:rPr>
          <w:rFonts w:ascii="Arial"/>
          <w:color w:val="000000"/>
          <w:sz w:val="24"/>
        </w:rPr>
        <w:t xml:space="preserve">thereby </w:t>
      </w:r>
      <w:r>
        <w:rPr>
          <w:rFonts w:ascii="Arial"/>
          <w:color w:val="000000"/>
          <w:sz w:val="24"/>
        </w:rPr>
        <w:t>be given such a broad operation as to devour the exc</w:t>
      </w:r>
      <w:r>
        <w:rPr>
          <w:rFonts w:ascii="Arial"/>
          <w:color w:val="000000"/>
          <w:sz w:val="24"/>
        </w:rPr>
        <w:t>lus</w:t>
      </w:r>
      <w:r>
        <w:rPr>
          <w:rFonts w:ascii="Arial"/>
          <w:color w:val="000000"/>
          <w:sz w:val="24"/>
        </w:rPr>
        <w:t xml:space="preserve">ion itself. </w:t>
      </w:r>
      <w:r>
        <w:rPr>
          <w:rFonts w:ascii="Arial"/>
          <w:color w:val="000000"/>
          <w:sz w:val="24"/>
        </w:rPr>
        <w:t>This is an untenable approach to construing the statutory definition and applying it to the facts of this case.</w:t>
      </w:r>
    </w:p>
    <w:p>
      <w:pPr>
        <w:pStyle w:val="CaselawNumbered10"/>
        <w:numPr>
          <w:ilvl w:val="0"/>
          <w:numId w:val="46"/>
        </w:numPr>
        <w:spacing w:before="150" w:after="0"/>
        <w:ind w:left="600" w:hanging="600"/>
      </w:pPr>
      <w:r>
        <w:rPr>
          <w:rFonts w:ascii="Arial"/>
          <w:color w:val="000000"/>
          <w:sz w:val="24"/>
        </w:rPr>
        <w:t>The alternative argument</w:t>
      </w:r>
      <w:r>
        <w:rPr>
          <w:rFonts w:ascii="Arial"/>
          <w:color w:val="000000"/>
          <w:sz w:val="24"/>
        </w:rPr>
        <w:t>,</w:t>
      </w:r>
      <w:r>
        <w:rPr>
          <w:rFonts w:ascii="Arial"/>
          <w:color w:val="000000"/>
          <w:sz w:val="24"/>
        </w:rPr>
        <w:t xml:space="preserve"> </w:t>
      </w:r>
      <w:r>
        <w:rPr>
          <w:rFonts w:ascii="Arial"/>
          <w:color w:val="000000"/>
          <w:sz w:val="24"/>
        </w:rPr>
        <w:t xml:space="preserve">that each bedroom with an ensuite bathroom is itself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 xml:space="preserve">is equally untenable. </w:t>
      </w:r>
      <w:r>
        <w:rPr>
          <w:rFonts w:ascii="Arial"/>
          <w:color w:val="000000"/>
          <w:sz w:val="24"/>
        </w:rPr>
        <w:t xml:space="preserve">Again, textual and contextual considerations point compellingly against that approach. Accommodation of that kind does not provide the basic characteristics of a residential dwelling or a residential </w:t>
      </w:r>
      <w:r>
        <w:rPr>
          <w:rFonts w:ascii="Arial"/>
          <w:color w:val="000000"/>
          <w:sz w:val="24"/>
        </w:rPr>
        <w:t>“</w:t>
      </w:r>
      <w:r>
        <w:rPr>
          <w:rFonts w:ascii="Arial"/>
          <w:color w:val="000000"/>
          <w:sz w:val="24"/>
        </w:rPr>
        <w:t>unit</w:t>
      </w:r>
      <w:r>
        <w:rPr>
          <w:rFonts w:ascii="Arial"/>
          <w:color w:val="000000"/>
          <w:sz w:val="24"/>
        </w:rPr>
        <w:t xml:space="preserve">” </w:t>
      </w:r>
      <w:r>
        <w:rPr>
          <w:rFonts w:ascii="Arial"/>
          <w:color w:val="000000"/>
          <w:sz w:val="24"/>
        </w:rPr>
        <w:t xml:space="preserve">as conventionally understood. It has no kitchen facilities, no living area, no dining area and no laundry facilities. None of those traditional elements of residential accommodation </w:t>
      </w:r>
      <w:r>
        <w:rPr>
          <w:rFonts w:ascii="Arial"/>
          <w:color w:val="000000"/>
          <w:sz w:val="24"/>
        </w:rPr>
        <w:t>is</w:t>
      </w:r>
      <w:r>
        <w:rPr>
          <w:rFonts w:ascii="Arial"/>
          <w:color w:val="000000"/>
          <w:sz w:val="24"/>
        </w:rPr>
        <w:t xml:space="preserve"> </w:t>
      </w:r>
      <w:r>
        <w:rPr>
          <w:rFonts w:ascii="Arial"/>
          <w:color w:val="000000"/>
          <w:sz w:val="24"/>
        </w:rPr>
        <w:t xml:space="preserve">contained within the area said to </w:t>
      </w:r>
      <w:r>
        <w:rPr>
          <w:rFonts w:ascii="Arial"/>
          <w:color w:val="000000"/>
          <w:sz w:val="24"/>
        </w:rPr>
        <w:t xml:space="preserve">comprise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w:t>
      </w:r>
      <w:r>
        <w:rPr>
          <w:rFonts w:ascii="Arial"/>
          <w:color w:val="000000"/>
          <w:sz w:val="24"/>
        </w:rPr>
        <w:t xml:space="preserve">It may be accepted, as Portelli contends, that some </w:t>
      </w:r>
      <w:r>
        <w:rPr>
          <w:rFonts w:ascii="Arial"/>
          <w:color w:val="000000"/>
          <w:sz w:val="24"/>
        </w:rPr>
        <w:t xml:space="preserve">apartments that would likely qualify as </w:t>
      </w:r>
      <w:r>
        <w:rPr>
          <w:rFonts w:ascii="Arial"/>
          <w:color w:val="000000"/>
          <w:sz w:val="24"/>
        </w:rPr>
        <w:t>“</w:t>
      </w:r>
      <w:r>
        <w:rPr>
          <w:rFonts w:ascii="Arial"/>
          <w:color w:val="000000"/>
          <w:sz w:val="24"/>
        </w:rPr>
        <w:t>self-contained units</w:t>
      </w:r>
      <w:r>
        <w:rPr>
          <w:rFonts w:ascii="Arial"/>
          <w:color w:val="000000"/>
          <w:sz w:val="24"/>
        </w:rPr>
        <w:t>”</w:t>
      </w:r>
      <w:r>
        <w:rPr>
          <w:rFonts w:ascii="Arial"/>
          <w:color w:val="000000"/>
          <w:sz w:val="24"/>
        </w:rPr>
        <w:t xml:space="preserve"> </w:t>
      </w:r>
      <w:r>
        <w:rPr>
          <w:rFonts w:ascii="Arial"/>
          <w:color w:val="000000"/>
          <w:sz w:val="24"/>
        </w:rPr>
        <w:t>do</w:t>
      </w:r>
      <w:r>
        <w:rPr>
          <w:rFonts w:ascii="Arial"/>
          <w:color w:val="000000"/>
          <w:sz w:val="24"/>
        </w:rPr>
        <w:t xml:space="preserve"> </w:t>
      </w:r>
      <w:r>
        <w:rPr>
          <w:rFonts w:ascii="Arial"/>
          <w:color w:val="000000"/>
          <w:sz w:val="24"/>
        </w:rPr>
        <w:t xml:space="preserve">not contain laundry facilities of their own. But it </w:t>
      </w:r>
      <w:r>
        <w:rPr>
          <w:rFonts w:ascii="Arial"/>
          <w:color w:val="000000"/>
          <w:sz w:val="24"/>
        </w:rPr>
        <w:t xml:space="preserve">does not follow, and </w:t>
      </w:r>
      <w:r>
        <w:rPr>
          <w:rFonts w:ascii="Arial"/>
          <w:color w:val="000000"/>
          <w:sz w:val="24"/>
        </w:rPr>
        <w:t>cannot be accepted</w:t>
      </w:r>
      <w:r>
        <w:rPr>
          <w:rFonts w:ascii="Arial"/>
          <w:color w:val="000000"/>
          <w:sz w:val="24"/>
        </w:rPr>
        <w:t>,</w:t>
      </w:r>
      <w:r>
        <w:rPr>
          <w:rFonts w:ascii="Arial"/>
          <w:color w:val="000000"/>
          <w:sz w:val="24"/>
        </w:rPr>
        <w:t xml:space="preserve"> </w:t>
      </w:r>
      <w:r>
        <w:rPr>
          <w:rFonts w:ascii="Arial"/>
          <w:color w:val="000000"/>
          <w:sz w:val="24"/>
        </w:rPr>
        <w:t xml:space="preserve">that a bedroom that does not contain living quarters or the facilities to prepare and consume food is </w:t>
      </w:r>
      <w:r>
        <w:rPr>
          <w:rFonts w:ascii="Arial"/>
          <w:color w:val="000000"/>
          <w:sz w:val="24"/>
        </w:rPr>
        <w:t xml:space="preserve">nevertheless </w:t>
      </w:r>
      <w:r>
        <w:rPr>
          <w:rFonts w:ascii="Arial"/>
          <w:color w:val="000000"/>
          <w:sz w:val="24"/>
        </w:rPr>
        <w:t xml:space="preserve">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w:t>
      </w:r>
      <w:r>
        <w:rPr>
          <w:rFonts w:ascii="Arial"/>
          <w:color w:val="000000"/>
          <w:sz w:val="24"/>
        </w:rPr>
        <w:t>of residential accommodation</w:t>
      </w:r>
      <w:r>
        <w:rPr>
          <w:rFonts w:ascii="Arial"/>
          <w:color w:val="000000"/>
          <w:sz w:val="24"/>
        </w:rPr>
        <w:t>.</w:t>
      </w:r>
    </w:p>
    <w:p>
      <w:pPr>
        <w:pStyle w:val="CaselawNumbered10"/>
        <w:numPr>
          <w:ilvl w:val="0"/>
          <w:numId w:val="46"/>
        </w:numPr>
        <w:spacing w:before="150" w:after="0"/>
        <w:ind w:left="600" w:hanging="600"/>
      </w:pPr>
      <w:r>
        <w:rPr>
          <w:rFonts w:ascii="Arial"/>
          <w:color w:val="000000"/>
          <w:sz w:val="24"/>
        </w:rPr>
        <w:t>Portelli</w:t>
      </w:r>
      <w:r>
        <w:rPr>
          <w:rFonts w:ascii="Arial"/>
          <w:color w:val="000000"/>
          <w:sz w:val="24"/>
        </w:rPr>
        <w:t>’</w:t>
      </w:r>
      <w:r>
        <w:rPr>
          <w:rFonts w:ascii="Arial"/>
          <w:color w:val="000000"/>
          <w:sz w:val="24"/>
        </w:rPr>
        <w:t>s alternative argument would</w:t>
      </w:r>
      <w:r>
        <w:rPr>
          <w:rFonts w:ascii="Arial"/>
          <w:color w:val="000000"/>
          <w:sz w:val="24"/>
        </w:rPr>
        <w:t xml:space="preserve">, like its primary argument, </w:t>
      </w:r>
      <w:r>
        <w:rPr>
          <w:rFonts w:ascii="Arial"/>
          <w:color w:val="000000"/>
          <w:sz w:val="24"/>
        </w:rPr>
        <w:t>give the exclusion in cl 3(3)(d) no real work to do</w:t>
      </w:r>
      <w:r>
        <w:rPr>
          <w:rFonts w:ascii="Arial"/>
          <w:color w:val="000000"/>
          <w:sz w:val="24"/>
        </w:rPr>
        <w:t xml:space="preserve"> </w:t>
      </w:r>
      <w:r>
        <w:rPr>
          <w:rFonts w:ascii="Arial"/>
          <w:color w:val="000000"/>
          <w:sz w:val="24"/>
        </w:rPr>
        <w:t xml:space="preserve">in the context of the </w:t>
      </w:r>
      <w:r>
        <w:rPr>
          <w:rFonts w:ascii="Arial"/>
          <w:i/>
          <w:color w:val="000000"/>
          <w:sz w:val="24"/>
        </w:rPr>
        <w:t>Home Building Act</w:t>
      </w:r>
      <w:r>
        <w:rPr>
          <w:rFonts w:ascii="Arial"/>
          <w:color w:val="000000"/>
          <w:sz w:val="24"/>
        </w:rPr>
        <w:t>. I</w:t>
      </w:r>
      <w:r>
        <w:rPr>
          <w:rFonts w:ascii="Arial"/>
          <w:color w:val="000000"/>
          <w:sz w:val="24"/>
        </w:rPr>
        <w:t xml:space="preserve">f </w:t>
      </w:r>
      <w:r>
        <w:rPr>
          <w:rFonts w:ascii="Arial"/>
          <w:color w:val="000000"/>
          <w:sz w:val="24"/>
        </w:rPr>
        <w:t>each</w:t>
      </w:r>
      <w:r>
        <w:rPr>
          <w:rFonts w:ascii="Arial"/>
          <w:color w:val="000000"/>
          <w:sz w:val="24"/>
        </w:rPr>
        <w:t xml:space="preserve"> </w:t>
      </w:r>
      <w:r>
        <w:rPr>
          <w:rFonts w:ascii="Arial"/>
          <w:color w:val="000000"/>
          <w:sz w:val="24"/>
        </w:rPr>
        <w:t xml:space="preserve">bedroom that </w:t>
      </w:r>
      <w:r>
        <w:rPr>
          <w:rFonts w:ascii="Arial"/>
          <w:color w:val="000000"/>
          <w:sz w:val="24"/>
        </w:rPr>
        <w:t>is</w:t>
      </w:r>
      <w:r>
        <w:rPr>
          <w:rFonts w:ascii="Arial"/>
          <w:color w:val="000000"/>
          <w:sz w:val="24"/>
        </w:rPr>
        <w:t xml:space="preserve"> </w:t>
      </w:r>
      <w:r>
        <w:rPr>
          <w:rFonts w:ascii="Arial"/>
          <w:color w:val="000000"/>
          <w:sz w:val="24"/>
        </w:rPr>
        <w:t>constructed within an accommodation building that is designed for persons with a disability constitute</w:t>
      </w:r>
      <w:r>
        <w:rPr>
          <w:rFonts w:ascii="Arial"/>
          <w:color w:val="000000"/>
          <w:sz w:val="24"/>
        </w:rPr>
        <w:t>s</w:t>
      </w:r>
      <w:r>
        <w:rPr>
          <w:rFonts w:ascii="Arial"/>
          <w:color w:val="000000"/>
          <w:sz w:val="24"/>
        </w:rPr>
        <w:t xml:space="preserve"> </w:t>
      </w:r>
      <w:r>
        <w:rPr>
          <w:rFonts w:ascii="Arial"/>
          <w:color w:val="000000"/>
          <w:sz w:val="24"/>
        </w:rPr>
        <w:t xml:space="preserve">a </w:t>
      </w:r>
      <w:r>
        <w:rPr>
          <w:rFonts w:ascii="Arial"/>
          <w:color w:val="000000"/>
          <w:sz w:val="24"/>
        </w:rPr>
        <w:t>“</w:t>
      </w:r>
      <w:r>
        <w:rPr>
          <w:rFonts w:ascii="Arial"/>
          <w:color w:val="000000"/>
          <w:sz w:val="24"/>
        </w:rPr>
        <w:t>self-contained unit</w:t>
      </w:r>
      <w:r>
        <w:rPr>
          <w:rFonts w:ascii="Arial"/>
          <w:color w:val="000000"/>
          <w:sz w:val="24"/>
        </w:rPr>
        <w:t xml:space="preserve">” </w:t>
      </w:r>
      <w:r>
        <w:rPr>
          <w:rFonts w:ascii="Arial"/>
          <w:color w:val="000000"/>
          <w:sz w:val="24"/>
        </w:rPr>
        <w:t xml:space="preserve">in </w:t>
      </w:r>
      <w:r>
        <w:rPr>
          <w:rFonts w:ascii="Arial"/>
          <w:color w:val="000000"/>
          <w:sz w:val="24"/>
        </w:rPr>
        <w:t>its</w:t>
      </w:r>
      <w:r>
        <w:rPr>
          <w:rFonts w:ascii="Arial"/>
          <w:color w:val="000000"/>
          <w:sz w:val="24"/>
        </w:rPr>
        <w:t xml:space="preserve"> </w:t>
      </w:r>
      <w:r>
        <w:rPr>
          <w:rFonts w:ascii="Arial"/>
          <w:color w:val="000000"/>
          <w:sz w:val="24"/>
        </w:rPr>
        <w:t xml:space="preserve">own right, then every accommodation building of that kind will be treated </w:t>
      </w:r>
      <w:r>
        <w:rPr>
          <w:rFonts w:ascii="Arial"/>
          <w:color w:val="000000"/>
          <w:sz w:val="24"/>
        </w:rPr>
        <w:t xml:space="preserve">for the purposes of the </w:t>
      </w:r>
      <w:r>
        <w:rPr>
          <w:rFonts w:ascii="Arial"/>
          <w:i/>
          <w:color w:val="000000"/>
          <w:sz w:val="24"/>
        </w:rPr>
        <w:t xml:space="preserve">Home Building Act </w:t>
      </w:r>
      <w:r>
        <w:rPr>
          <w:rFonts w:ascii="Arial"/>
          <w:color w:val="000000"/>
          <w:sz w:val="24"/>
        </w:rPr>
        <w:t xml:space="preserve">as incorporating </w:t>
      </w:r>
      <w:r>
        <w:rPr>
          <w:rFonts w:ascii="Arial"/>
          <w:color w:val="000000"/>
          <w:sz w:val="24"/>
        </w:rPr>
        <w:t>“</w:t>
      </w:r>
      <w:r>
        <w:rPr>
          <w:rFonts w:ascii="Arial"/>
          <w:color w:val="000000"/>
          <w:sz w:val="24"/>
        </w:rPr>
        <w:t>dwellings</w:t>
      </w:r>
      <w:r>
        <w:rPr>
          <w:rFonts w:ascii="Arial"/>
          <w:color w:val="000000"/>
          <w:sz w:val="24"/>
        </w:rPr>
        <w:t>”</w:t>
      </w:r>
      <w:r>
        <w:rPr>
          <w:rFonts w:ascii="Arial"/>
          <w:color w:val="000000"/>
          <w:sz w:val="24"/>
        </w:rPr>
        <w:t xml:space="preserve">. The consequence will be that, among other things, insurance for </w:t>
      </w:r>
      <w:r>
        <w:rPr>
          <w:rFonts w:ascii="Arial"/>
          <w:color w:val="000000"/>
          <w:sz w:val="24"/>
        </w:rPr>
        <w:t>“</w:t>
      </w:r>
      <w:r>
        <w:rPr>
          <w:rFonts w:ascii="Arial"/>
          <w:color w:val="000000"/>
          <w:sz w:val="24"/>
        </w:rPr>
        <w:t>residential building work</w:t>
      </w:r>
      <w:r>
        <w:rPr>
          <w:rFonts w:ascii="Arial"/>
          <w:color w:val="000000"/>
          <w:sz w:val="24"/>
        </w:rPr>
        <w:t>”</w:t>
      </w:r>
      <w:r>
        <w:rPr>
          <w:rFonts w:ascii="Arial"/>
          <w:color w:val="000000"/>
          <w:sz w:val="24"/>
        </w:rPr>
        <w:t xml:space="preserve"> </w:t>
      </w:r>
      <w:r>
        <w:rPr>
          <w:rFonts w:ascii="Arial"/>
          <w:color w:val="000000"/>
          <w:sz w:val="24"/>
        </w:rPr>
        <w:t xml:space="preserve">will be required for the construction of such accommodation. </w:t>
      </w:r>
      <w:r>
        <w:rPr>
          <w:rFonts w:ascii="Arial"/>
          <w:color w:val="000000"/>
          <w:sz w:val="24"/>
        </w:rPr>
        <w:t xml:space="preserve">That would subvert the evident purpose of cl 3(3)(d), which is to exclude at least some forms of accommodation specially designed for the aged, persons with a disability or children from the operation of the </w:t>
      </w:r>
      <w:r>
        <w:rPr>
          <w:rFonts w:ascii="Arial"/>
          <w:i/>
          <w:color w:val="000000"/>
          <w:sz w:val="24"/>
        </w:rPr>
        <w:t>Home Building Act</w:t>
      </w:r>
      <w:r>
        <w:rPr>
          <w:rFonts w:ascii="Arial"/>
          <w:color w:val="000000"/>
          <w:sz w:val="24"/>
        </w:rPr>
        <w:t xml:space="preserve"> </w:t>
      </w:r>
      <w:r>
        <w:rPr>
          <w:rFonts w:ascii="Arial"/>
          <w:color w:val="000000"/>
          <w:sz w:val="24"/>
        </w:rPr>
        <w:t xml:space="preserve">as it relates to residential </w:t>
      </w:r>
      <w:r>
        <w:rPr>
          <w:rFonts w:ascii="Arial"/>
          <w:color w:val="000000"/>
          <w:sz w:val="24"/>
        </w:rPr>
        <w:t>building</w:t>
      </w:r>
      <w:r>
        <w:rPr>
          <w:rFonts w:ascii="Arial"/>
          <w:color w:val="000000"/>
          <w:sz w:val="24"/>
        </w:rPr>
        <w:t xml:space="preserve"> </w:t>
      </w:r>
      <w:r>
        <w:rPr>
          <w:rFonts w:ascii="Arial"/>
          <w:color w:val="000000"/>
          <w:sz w:val="24"/>
        </w:rPr>
        <w:t xml:space="preserve">work. </w:t>
      </w:r>
      <w:r>
        <w:rPr>
          <w:rFonts w:ascii="Arial"/>
          <w:color w:val="000000"/>
          <w:sz w:val="24"/>
        </w:rPr>
        <w:t>Again, the exception from the exclusion would operate to devour the exclusion itself.</w:t>
      </w:r>
    </w:p>
    <w:p>
      <w:pPr>
        <w:pStyle w:val="CaselawHeading3"/>
        <w:keepNext/>
        <w:spacing w:before="150" w:after="150" w:line="264"/>
        <w:ind w:left="0"/>
        <w:jc w:val="left"/>
      </w:pPr>
      <w:r>
        <w:rPr>
          <w:rFonts w:ascii="Arial"/>
        </w:rPr>
        <w:t>Suggestion that the construction of the statutory definition could fall to be determined by reference to expert evidence</w:t>
      </w:r>
      <w:r>
        <w:rPr>
          <w:rFonts w:ascii="Arial"/>
        </w:rPr>
        <w:t xml:space="preserve"> </w:t>
      </w:r>
    </w:p>
    <w:p>
      <w:pPr>
        <w:pStyle w:val="CaselawNumbered10"/>
        <w:numPr>
          <w:ilvl w:val="0"/>
          <w:numId w:val="47"/>
        </w:numPr>
        <w:spacing w:before="150" w:after="0"/>
        <w:ind w:left="600" w:hanging="600"/>
      </w:pPr>
      <w:r>
        <w:rPr>
          <w:rFonts w:ascii="Arial"/>
          <w:color w:val="000000"/>
          <w:sz w:val="24"/>
        </w:rPr>
        <w:t xml:space="preserve">Portelli sought to argue that there is a possibility that expert evidence could be adduced bearing on the trade meaning of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w:t>
      </w:r>
      <w:r>
        <w:rPr>
          <w:rFonts w:ascii="Arial"/>
          <w:color w:val="000000"/>
          <w:sz w:val="24"/>
        </w:rPr>
        <w:t xml:space="preserve">which could be relevant to the proper construction of cl 3(3)(d) of Sch 1 to the </w:t>
      </w:r>
      <w:r>
        <w:rPr>
          <w:rFonts w:ascii="Arial"/>
          <w:i/>
          <w:color w:val="000000"/>
          <w:sz w:val="24"/>
        </w:rPr>
        <w:t xml:space="preserve">Home Building Act. </w:t>
      </w:r>
      <w:r>
        <w:rPr>
          <w:rFonts w:ascii="Arial"/>
          <w:color w:val="000000"/>
          <w:sz w:val="24"/>
        </w:rPr>
        <w:t xml:space="preserve">This </w:t>
      </w:r>
      <w:r>
        <w:rPr>
          <w:rFonts w:ascii="Arial"/>
          <w:color w:val="000000"/>
          <w:sz w:val="24"/>
        </w:rPr>
        <w:t xml:space="preserve">argument invokes the principle </w:t>
      </w:r>
      <w:r>
        <w:rPr>
          <w:rFonts w:ascii="Arial"/>
          <w:color w:val="000000"/>
          <w:sz w:val="24"/>
        </w:rPr>
        <w:t xml:space="preserve">that the technical meaning of a non-legal phrase can be established by evidence: </w:t>
      </w:r>
      <w:r>
        <w:rPr>
          <w:rFonts w:ascii="Arial"/>
          <w:i/>
          <w:color w:val="000000"/>
          <w:sz w:val="24"/>
        </w:rPr>
        <w:t>General Accident Fire &amp; Life Assurance Corp</w:t>
      </w:r>
      <w:r>
        <w:rPr>
          <w:rFonts w:ascii="Arial"/>
          <w:i/>
          <w:color w:val="000000"/>
          <w:sz w:val="24"/>
        </w:rPr>
        <w:t>oration</w:t>
      </w:r>
      <w:r>
        <w:rPr>
          <w:rFonts w:ascii="Arial"/>
          <w:i/>
          <w:color w:val="000000"/>
          <w:sz w:val="24"/>
        </w:rPr>
        <w:t xml:space="preserve"> Ltd v Commissioner of Pay-roll Tax </w:t>
      </w:r>
      <w:r>
        <w:rPr>
          <w:rFonts w:ascii="Arial"/>
          <w:color w:val="000000"/>
          <w:sz w:val="24"/>
        </w:rPr>
        <w:t>[1982]</w:t>
      </w:r>
      <w:r>
        <w:rPr>
          <w:rFonts w:ascii="Arial"/>
          <w:color w:val="000000"/>
          <w:sz w:val="24"/>
        </w:rPr>
        <w:t xml:space="preserve"> </w:t>
      </w:r>
      <w:r>
        <w:rPr>
          <w:rFonts w:ascii="Arial"/>
          <w:color w:val="000000"/>
          <w:sz w:val="24"/>
        </w:rPr>
        <w:t>2</w:t>
      </w:r>
      <w:r>
        <w:rPr>
          <w:rFonts w:ascii="Arial"/>
          <w:color w:val="000000"/>
          <w:sz w:val="24"/>
        </w:rPr>
        <w:t xml:space="preserve"> </w:t>
      </w:r>
      <w:r>
        <w:rPr>
          <w:rFonts w:ascii="Arial"/>
          <w:color w:val="000000"/>
          <w:sz w:val="24"/>
        </w:rPr>
        <w:t>NSWLR 5</w:t>
      </w:r>
      <w:r>
        <w:rPr>
          <w:rFonts w:ascii="Arial"/>
          <w:color w:val="000000"/>
          <w:sz w:val="24"/>
        </w:rPr>
        <w:t>2</w:t>
      </w:r>
      <w:r>
        <w:rPr>
          <w:rFonts w:ascii="Arial"/>
          <w:color w:val="000000"/>
          <w:sz w:val="24"/>
        </w:rPr>
        <w:t xml:space="preserve"> </w:t>
      </w:r>
      <w:r>
        <w:rPr>
          <w:rFonts w:ascii="Arial"/>
          <w:color w:val="000000"/>
          <w:sz w:val="24"/>
        </w:rPr>
        <w:t>at 5</w:t>
      </w:r>
      <w:r>
        <w:rPr>
          <w:rFonts w:ascii="Arial"/>
          <w:color w:val="000000"/>
          <w:sz w:val="24"/>
        </w:rPr>
        <w:t>4</w:t>
      </w:r>
      <w:r>
        <w:rPr>
          <w:rFonts w:ascii="Arial"/>
          <w:color w:val="000000"/>
          <w:sz w:val="24"/>
        </w:rPr>
        <w:t xml:space="preserve">. </w:t>
      </w:r>
      <w:r>
        <w:rPr>
          <w:rFonts w:ascii="Arial"/>
          <w:color w:val="000000"/>
          <w:sz w:val="24"/>
        </w:rPr>
        <w:t xml:space="preserve">Portelli argues </w:t>
      </w:r>
      <w:r>
        <w:rPr>
          <w:rFonts w:ascii="Arial"/>
          <w:color w:val="000000"/>
          <w:sz w:val="24"/>
        </w:rPr>
        <w:t xml:space="preserve">that </w:t>
      </w:r>
      <w:r>
        <w:rPr>
          <w:rFonts w:ascii="Arial"/>
          <w:color w:val="000000"/>
          <w:sz w:val="24"/>
        </w:rPr>
        <w:t>because of the prospect of such evidence being adduced, a factual con</w:t>
      </w:r>
      <w:r>
        <w:rPr>
          <w:rFonts w:ascii="Arial"/>
          <w:color w:val="000000"/>
          <w:sz w:val="24"/>
        </w:rPr>
        <w:t xml:space="preserve">troversy may need to be resolved, such that </w:t>
      </w:r>
      <w:r>
        <w:rPr>
          <w:rFonts w:ascii="Arial"/>
          <w:color w:val="000000"/>
          <w:sz w:val="24"/>
        </w:rPr>
        <w:t xml:space="preserve">this is not a matter amenable to determination on a summary basis. </w:t>
      </w:r>
    </w:p>
    <w:p>
      <w:pPr>
        <w:pStyle w:val="CaselawNumbered10"/>
        <w:numPr>
          <w:ilvl w:val="0"/>
          <w:numId w:val="47"/>
        </w:numPr>
        <w:spacing w:before="150" w:after="0"/>
        <w:ind w:left="600" w:hanging="600"/>
      </w:pPr>
      <w:r>
        <w:rPr>
          <w:rFonts w:ascii="Arial"/>
          <w:color w:val="000000"/>
          <w:sz w:val="24"/>
        </w:rPr>
        <w:t>It may be accepted that s</w:t>
      </w:r>
      <w:r>
        <w:rPr>
          <w:rFonts w:ascii="Arial"/>
          <w:color w:val="000000"/>
          <w:sz w:val="24"/>
        </w:rPr>
        <w:t xml:space="preserve">ummary disposal </w:t>
      </w:r>
      <w:r>
        <w:rPr>
          <w:rFonts w:ascii="Arial"/>
          <w:color w:val="000000"/>
          <w:sz w:val="24"/>
        </w:rPr>
        <w:t xml:space="preserve">of a matter </w:t>
      </w:r>
      <w:r>
        <w:rPr>
          <w:rFonts w:ascii="Arial"/>
          <w:color w:val="000000"/>
          <w:sz w:val="24"/>
        </w:rPr>
        <w:t xml:space="preserve">is inappropriate </w:t>
      </w:r>
      <w:r>
        <w:rPr>
          <w:rFonts w:ascii="Arial"/>
          <w:color w:val="000000"/>
          <w:sz w:val="24"/>
        </w:rPr>
        <w:t>if</w:t>
      </w:r>
      <w:r>
        <w:rPr>
          <w:rFonts w:ascii="Arial"/>
          <w:color w:val="000000"/>
          <w:sz w:val="24"/>
        </w:rPr>
        <w:t xml:space="preserve"> </w:t>
      </w:r>
      <w:r>
        <w:rPr>
          <w:rFonts w:ascii="Arial"/>
          <w:color w:val="000000"/>
          <w:sz w:val="24"/>
        </w:rPr>
        <w:t xml:space="preserve">there is any </w:t>
      </w:r>
      <w:r>
        <w:rPr>
          <w:rFonts w:ascii="Arial"/>
          <w:color w:val="000000"/>
          <w:sz w:val="24"/>
        </w:rPr>
        <w:t>“</w:t>
      </w:r>
      <w:r>
        <w:rPr>
          <w:rFonts w:ascii="Arial"/>
          <w:color w:val="000000"/>
          <w:sz w:val="24"/>
        </w:rPr>
        <w:t>serious conflict</w:t>
      </w:r>
      <w:r>
        <w:rPr>
          <w:rFonts w:ascii="Arial"/>
          <w:color w:val="000000"/>
          <w:sz w:val="24"/>
        </w:rPr>
        <w:t>”</w:t>
      </w:r>
      <w:r>
        <w:rPr>
          <w:rFonts w:ascii="Arial"/>
          <w:color w:val="000000"/>
          <w:sz w:val="24"/>
        </w:rPr>
        <w:t xml:space="preserve"> </w:t>
      </w:r>
      <w:r>
        <w:rPr>
          <w:rFonts w:ascii="Arial"/>
          <w:color w:val="000000"/>
          <w:sz w:val="24"/>
        </w:rPr>
        <w:t xml:space="preserve">as to any matter of fact: </w:t>
      </w:r>
      <w:r>
        <w:rPr>
          <w:rFonts w:ascii="Arial"/>
          <w:i/>
          <w:color w:val="000000"/>
          <w:sz w:val="24"/>
        </w:rPr>
        <w:t xml:space="preserve">Sidebottom v Cureton </w:t>
      </w:r>
      <w:r>
        <w:rPr>
          <w:rFonts w:ascii="Arial"/>
          <w:color w:val="000000"/>
          <w:sz w:val="24"/>
        </w:rPr>
        <w:t>(1937) 54 WN (NSW) 88</w:t>
      </w:r>
      <w:r>
        <w:rPr>
          <w:rFonts w:ascii="Arial"/>
          <w:color w:val="000000"/>
          <w:sz w:val="24"/>
        </w:rPr>
        <w:t xml:space="preserve">; </w:t>
      </w:r>
      <w:r>
        <w:rPr>
          <w:rFonts w:ascii="Arial"/>
          <w:i/>
          <w:color w:val="000000"/>
          <w:sz w:val="24"/>
        </w:rPr>
        <w:t>Sharp v Glasser </w:t>
      </w:r>
      <w:r>
        <w:rPr>
          <w:rFonts w:ascii="Arial"/>
          <w:color w:val="000000"/>
          <w:sz w:val="24"/>
        </w:rPr>
        <w:t>(1946) 46 SR (NSW) 379 at 383</w:t>
      </w:r>
      <w:r>
        <w:rPr>
          <w:rFonts w:ascii="Arial"/>
          <w:color w:val="000000"/>
          <w:sz w:val="24"/>
        </w:rPr>
        <w:t xml:space="preserve"> </w:t>
      </w:r>
      <w:r>
        <w:rPr>
          <w:rFonts w:ascii="Arial"/>
          <w:color w:val="000000"/>
          <w:sz w:val="24"/>
        </w:rPr>
        <w:t xml:space="preserve">cited with approval in </w:t>
      </w:r>
      <w:r>
        <w:rPr>
          <w:rFonts w:ascii="Arial"/>
          <w:i/>
          <w:color w:val="000000"/>
          <w:sz w:val="24"/>
        </w:rPr>
        <w:t>Rowston</w:t>
      </w:r>
      <w:r>
        <w:rPr>
          <w:rFonts w:ascii="Arial"/>
          <w:i/>
          <w:color w:val="000000"/>
          <w:sz w:val="24"/>
        </w:rPr>
        <w:t xml:space="preserve"> v Sydney County Council </w:t>
      </w:r>
      <w:r>
        <w:rPr>
          <w:rFonts w:ascii="Arial"/>
          <w:color w:val="000000"/>
          <w:sz w:val="24"/>
        </w:rPr>
        <w:t>(1954) 92 CLR 605 at 613</w:t>
      </w:r>
      <w:r>
        <w:rPr>
          <w:rFonts w:ascii="Arial"/>
          <w:color w:val="000000"/>
          <w:sz w:val="24"/>
        </w:rPr>
        <w:t>; [1954] HCA 66</w:t>
      </w:r>
      <w:r>
        <w:rPr>
          <w:rFonts w:ascii="Arial"/>
          <w:color w:val="000000"/>
          <w:sz w:val="24"/>
        </w:rPr>
        <w:t xml:space="preserve">. In the same passage in </w:t>
      </w:r>
      <w:r>
        <w:rPr>
          <w:rFonts w:ascii="Arial"/>
          <w:i/>
          <w:color w:val="000000"/>
          <w:sz w:val="24"/>
        </w:rPr>
        <w:t>Rowston</w:t>
      </w:r>
      <w:r>
        <w:rPr>
          <w:rFonts w:ascii="Arial"/>
          <w:i/>
          <w:color w:val="000000"/>
          <w:sz w:val="24"/>
        </w:rPr>
        <w:t xml:space="preserve"> </w:t>
      </w:r>
      <w:r>
        <w:rPr>
          <w:rFonts w:ascii="Arial"/>
          <w:color w:val="000000"/>
          <w:sz w:val="24"/>
        </w:rPr>
        <w:t xml:space="preserve">the High Court referred to cases involving any </w:t>
      </w:r>
      <w:r>
        <w:rPr>
          <w:rFonts w:ascii="Arial"/>
          <w:color w:val="000000"/>
          <w:sz w:val="24"/>
        </w:rPr>
        <w:t>“</w:t>
      </w:r>
      <w:r>
        <w:rPr>
          <w:rFonts w:ascii="Arial"/>
          <w:color w:val="000000"/>
          <w:sz w:val="24"/>
        </w:rPr>
        <w:t>substantial question of fact to be determined</w:t>
      </w:r>
      <w:r>
        <w:rPr>
          <w:rFonts w:ascii="Arial"/>
          <w:color w:val="000000"/>
          <w:sz w:val="24"/>
        </w:rPr>
        <w:t xml:space="preserve">” </w:t>
      </w:r>
      <w:r>
        <w:rPr>
          <w:rFonts w:ascii="Arial"/>
          <w:color w:val="000000"/>
          <w:sz w:val="24"/>
        </w:rPr>
        <w:t>as being unsuitable for summary disposition.</w:t>
      </w:r>
      <w:r>
        <w:rPr>
          <w:rFonts w:ascii="Arial"/>
          <w:color w:val="000000"/>
          <w:sz w:val="24"/>
        </w:rPr>
        <w:t xml:space="preserve"> </w:t>
      </w:r>
      <w:r>
        <w:rPr>
          <w:rFonts w:ascii="Arial"/>
          <w:color w:val="000000"/>
          <w:sz w:val="24"/>
        </w:rPr>
        <w:t xml:space="preserve">Here Portelli has not demonstrated that there is a question of fact that is serious or substantial. Its </w:t>
      </w:r>
      <w:r>
        <w:rPr>
          <w:rFonts w:ascii="Arial"/>
          <w:color w:val="000000"/>
          <w:sz w:val="24"/>
        </w:rPr>
        <w:t xml:space="preserve">argument about the prospect of expert evidence </w:t>
      </w:r>
      <w:r>
        <w:rPr>
          <w:rFonts w:ascii="Arial"/>
          <w:color w:val="000000"/>
          <w:sz w:val="24"/>
        </w:rPr>
        <w:t xml:space="preserve">being adduced that has a relevant </w:t>
      </w:r>
      <w:r>
        <w:rPr>
          <w:rFonts w:ascii="Arial"/>
          <w:color w:val="000000"/>
          <w:sz w:val="24"/>
        </w:rPr>
        <w:t xml:space="preserve">bearing on the meaning of </w:t>
      </w:r>
      <w:r>
        <w:rPr>
          <w:rFonts w:ascii="Arial"/>
          <w:color w:val="000000"/>
          <w:sz w:val="24"/>
        </w:rPr>
        <w:t>“</w:t>
      </w:r>
      <w:r>
        <w:rPr>
          <w:rFonts w:ascii="Arial"/>
          <w:color w:val="000000"/>
          <w:sz w:val="24"/>
        </w:rPr>
        <w:t>self-contained unit</w:t>
      </w:r>
      <w:r>
        <w:rPr>
          <w:rFonts w:ascii="Arial"/>
          <w:color w:val="000000"/>
          <w:sz w:val="24"/>
        </w:rPr>
        <w:t xml:space="preserve">” </w:t>
      </w:r>
      <w:r>
        <w:rPr>
          <w:rFonts w:ascii="Arial"/>
          <w:color w:val="000000"/>
          <w:sz w:val="24"/>
        </w:rPr>
        <w:t>i</w:t>
      </w:r>
      <w:r>
        <w:rPr>
          <w:rFonts w:ascii="Arial"/>
          <w:color w:val="000000"/>
          <w:sz w:val="24"/>
        </w:rPr>
        <w:t>s</w:t>
      </w:r>
      <w:r>
        <w:rPr>
          <w:rFonts w:ascii="Arial"/>
          <w:color w:val="000000"/>
          <w:sz w:val="24"/>
        </w:rPr>
        <w:t xml:space="preserve">, in </w:t>
      </w:r>
      <w:r>
        <w:rPr>
          <w:rFonts w:ascii="Arial"/>
          <w:color w:val="000000"/>
          <w:sz w:val="24"/>
        </w:rPr>
        <w:t>a number of</w:t>
      </w:r>
      <w:r>
        <w:rPr>
          <w:rFonts w:ascii="Arial"/>
          <w:color w:val="000000"/>
          <w:sz w:val="24"/>
        </w:rPr>
        <w:t xml:space="preserve"> </w:t>
      </w:r>
      <w:r>
        <w:rPr>
          <w:rFonts w:ascii="Arial"/>
          <w:color w:val="000000"/>
          <w:sz w:val="24"/>
        </w:rPr>
        <w:t xml:space="preserve">important respects, no more than </w:t>
      </w:r>
      <w:r>
        <w:rPr>
          <w:rFonts w:ascii="Arial"/>
          <w:color w:val="000000"/>
          <w:sz w:val="24"/>
        </w:rPr>
        <w:t xml:space="preserve">speculative. </w:t>
      </w:r>
    </w:p>
    <w:p>
      <w:pPr>
        <w:pStyle w:val="CaselawNumbered10"/>
        <w:numPr>
          <w:ilvl w:val="0"/>
          <w:numId w:val="47"/>
        </w:numPr>
        <w:spacing w:before="150" w:after="0"/>
        <w:ind w:left="600" w:hanging="600"/>
      </w:pPr>
      <w:r>
        <w:rPr>
          <w:rFonts w:ascii="Arial"/>
          <w:color w:val="000000"/>
          <w:sz w:val="24"/>
        </w:rPr>
        <w:t xml:space="preserve">While it was not incumbent on Portelli to approach the issue as if it were a final hearing, </w:t>
      </w:r>
      <w:r>
        <w:rPr>
          <w:rFonts w:ascii="Arial"/>
          <w:color w:val="000000"/>
          <w:sz w:val="24"/>
        </w:rPr>
        <w:t xml:space="preserve">Portelli did not establish a realistic prospect that any planning </w:t>
      </w:r>
      <w:r>
        <w:rPr>
          <w:rFonts w:ascii="Arial"/>
          <w:color w:val="000000"/>
          <w:sz w:val="24"/>
        </w:rPr>
        <w:t xml:space="preserve">expert </w:t>
      </w:r>
      <w:r>
        <w:rPr>
          <w:rFonts w:ascii="Arial"/>
          <w:color w:val="000000"/>
          <w:sz w:val="24"/>
        </w:rPr>
        <w:t xml:space="preserve">or construction expert might give evidence that </w:t>
      </w:r>
      <w:r>
        <w:rPr>
          <w:rFonts w:ascii="Arial"/>
          <w:color w:val="000000"/>
          <w:sz w:val="24"/>
        </w:rPr>
        <w:t>“</w:t>
      </w:r>
      <w:r>
        <w:rPr>
          <w:rFonts w:ascii="Arial"/>
          <w:color w:val="000000"/>
          <w:sz w:val="24"/>
        </w:rPr>
        <w:t>self-contained unit</w:t>
      </w:r>
      <w:r>
        <w:rPr>
          <w:rFonts w:ascii="Arial"/>
          <w:color w:val="000000"/>
          <w:sz w:val="24"/>
        </w:rPr>
        <w:t xml:space="preserve">” </w:t>
      </w:r>
      <w:r>
        <w:rPr>
          <w:rFonts w:ascii="Arial"/>
          <w:color w:val="000000"/>
          <w:sz w:val="24"/>
        </w:rPr>
        <w:t xml:space="preserve">should be given a meaning consistent with one or other of the two arguments advanced by Portelli. </w:t>
      </w:r>
      <w:r>
        <w:rPr>
          <w:rFonts w:ascii="Arial"/>
          <w:color w:val="000000"/>
          <w:sz w:val="24"/>
        </w:rPr>
        <w:t>As explained above, both propositions are inherently improbable.</w:t>
      </w:r>
      <w:r>
        <w:rPr>
          <w:rFonts w:ascii="Arial"/>
          <w:color w:val="000000"/>
          <w:sz w:val="24"/>
        </w:rPr>
        <w:t xml:space="preserve"> </w:t>
      </w:r>
      <w:r>
        <w:rPr>
          <w:rFonts w:ascii="Arial"/>
          <w:color w:val="000000"/>
          <w:sz w:val="24"/>
        </w:rPr>
        <w:t xml:space="preserve">It cannot simply be asserted or assumed in favour of Portelli that there is a real prospect of an expert opining that within the planning and/or construction industries a bedroom with an ensuite bathroom is described as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 xml:space="preserve">, or alternatively that a complete building incorporating multiple bedrooms for disabled residents would be described in its entirety as a </w:t>
      </w:r>
      <w:r>
        <w:rPr>
          <w:rFonts w:ascii="Arial"/>
          <w:color w:val="000000"/>
          <w:sz w:val="24"/>
        </w:rPr>
        <w:t>“</w:t>
      </w:r>
      <w:r>
        <w:rPr>
          <w:rFonts w:ascii="Arial"/>
          <w:color w:val="000000"/>
          <w:sz w:val="24"/>
        </w:rPr>
        <w:t>self-contained unit</w:t>
      </w:r>
      <w:r>
        <w:rPr>
          <w:rFonts w:ascii="Arial"/>
          <w:color w:val="000000"/>
          <w:sz w:val="24"/>
        </w:rPr>
        <w:t>”</w:t>
      </w:r>
      <w:r>
        <w:rPr>
          <w:rFonts w:ascii="Arial"/>
          <w:color w:val="000000"/>
          <w:sz w:val="24"/>
        </w:rPr>
        <w:t>.</w:t>
      </w:r>
      <w:r>
        <w:rPr>
          <w:rFonts w:ascii="Arial"/>
          <w:color w:val="000000"/>
          <w:sz w:val="24"/>
        </w:rPr>
        <w:t xml:space="preserve"> </w:t>
      </w:r>
      <w:r>
        <w:rPr>
          <w:rFonts w:ascii="Arial"/>
          <w:color w:val="000000"/>
          <w:sz w:val="24"/>
        </w:rPr>
        <w:t xml:space="preserve">Nor did Portelli seek to demonstrate why, as a matter of contractual construction, the phrase ought </w:t>
      </w:r>
      <w:r>
        <w:rPr>
          <w:rFonts w:ascii="Arial"/>
          <w:color w:val="000000"/>
          <w:sz w:val="24"/>
        </w:rPr>
        <w:t>be</w:t>
      </w:r>
      <w:r>
        <w:rPr>
          <w:rFonts w:ascii="Arial"/>
          <w:color w:val="000000"/>
          <w:sz w:val="24"/>
        </w:rPr>
        <w:t xml:space="preserve"> </w:t>
      </w:r>
      <w:r>
        <w:rPr>
          <w:rFonts w:ascii="Arial"/>
          <w:color w:val="000000"/>
          <w:sz w:val="24"/>
        </w:rPr>
        <w:t xml:space="preserve">given a technical meaning of the kind that may be the subject of expert evidence. </w:t>
      </w:r>
    </w:p>
    <w:p>
      <w:pPr>
        <w:pStyle w:val="CaselawNumbered10"/>
        <w:numPr>
          <w:ilvl w:val="0"/>
          <w:numId w:val="47"/>
        </w:numPr>
        <w:spacing w:before="150" w:after="0"/>
        <w:ind w:left="600" w:hanging="600"/>
      </w:pPr>
      <w:r>
        <w:rPr>
          <w:rFonts w:ascii="Arial"/>
          <w:color w:val="000000"/>
          <w:sz w:val="24"/>
        </w:rPr>
        <w:t>Mo</w:t>
      </w:r>
      <w:r>
        <w:rPr>
          <w:rFonts w:ascii="Arial"/>
          <w:color w:val="000000"/>
          <w:sz w:val="24"/>
        </w:rPr>
        <w:t xml:space="preserve">st tellingly, </w:t>
      </w:r>
      <w:r>
        <w:rPr>
          <w:rFonts w:ascii="Arial"/>
          <w:color w:val="000000"/>
          <w:sz w:val="24"/>
        </w:rPr>
        <w:t xml:space="preserve">Portelli did not grapple with the contextual implications of the arguments that it was advancing. Let it be assumed, notwithstanding the lack of any </w:t>
      </w:r>
      <w:r>
        <w:rPr>
          <w:rFonts w:ascii="Arial"/>
          <w:color w:val="000000"/>
          <w:sz w:val="24"/>
        </w:rPr>
        <w:t xml:space="preserve">proper </w:t>
      </w:r>
      <w:r>
        <w:rPr>
          <w:rFonts w:ascii="Arial"/>
          <w:color w:val="000000"/>
          <w:sz w:val="24"/>
        </w:rPr>
        <w:t xml:space="preserve">foundation established by Portelli, that there is a realistic prospect that a planning or construction expert might give evidence </w:t>
      </w:r>
      <w:r>
        <w:rPr>
          <w:rFonts w:ascii="Arial"/>
          <w:color w:val="000000"/>
          <w:sz w:val="24"/>
        </w:rPr>
        <w:t>to the effect postulated</w:t>
      </w:r>
      <w:r>
        <w:rPr>
          <w:rFonts w:ascii="Arial"/>
          <w:color w:val="000000"/>
          <w:sz w:val="24"/>
        </w:rPr>
        <w:t xml:space="preserve">. As I have explained above, it is impossible to reconcile either </w:t>
      </w:r>
      <w:r>
        <w:rPr>
          <w:rFonts w:ascii="Arial"/>
          <w:color w:val="000000"/>
          <w:sz w:val="24"/>
        </w:rPr>
        <w:t xml:space="preserve">usage of the phrase </w:t>
      </w:r>
      <w:r>
        <w:rPr>
          <w:rFonts w:ascii="Arial"/>
          <w:color w:val="000000"/>
          <w:sz w:val="24"/>
        </w:rPr>
        <w:t>“</w:t>
      </w:r>
      <w:r>
        <w:rPr>
          <w:rFonts w:ascii="Arial"/>
          <w:color w:val="000000"/>
          <w:sz w:val="24"/>
        </w:rPr>
        <w:t>self-contained unit</w:t>
      </w:r>
      <w:r>
        <w:rPr>
          <w:rFonts w:ascii="Arial"/>
          <w:color w:val="000000"/>
          <w:sz w:val="24"/>
        </w:rPr>
        <w:t xml:space="preserve">” </w:t>
      </w:r>
      <w:r>
        <w:rPr>
          <w:rFonts w:ascii="Arial"/>
          <w:color w:val="000000"/>
          <w:sz w:val="24"/>
        </w:rPr>
        <w:t xml:space="preserve">with the statutory context. </w:t>
      </w:r>
      <w:r>
        <w:rPr>
          <w:rFonts w:ascii="Arial"/>
          <w:color w:val="000000"/>
          <w:sz w:val="24"/>
        </w:rPr>
        <w:t xml:space="preserve">That in turn would provide a compelling indication that the legislature did not intend to adopt any such trade meaning. </w:t>
      </w:r>
      <w:r>
        <w:rPr>
          <w:rFonts w:ascii="Arial"/>
          <w:color w:val="000000"/>
          <w:sz w:val="24"/>
        </w:rPr>
        <w:t xml:space="preserve">Where a word or phrase has both an ordinary meaning and a technical meaning, unless the context indicates otherwise the ordinary meaning is presumed to have been intended: see </w:t>
      </w:r>
      <w:r>
        <w:rPr>
          <w:rFonts w:ascii="Arial"/>
          <w:color w:val="000000"/>
          <w:sz w:val="24"/>
        </w:rPr>
        <w:t xml:space="preserve">P </w:t>
      </w:r>
      <w:r>
        <w:rPr>
          <w:rFonts w:ascii="Arial"/>
          <w:color w:val="000000"/>
          <w:sz w:val="24"/>
        </w:rPr>
        <w:t xml:space="preserve">Herzfeld and </w:t>
      </w:r>
      <w:r>
        <w:rPr>
          <w:rFonts w:ascii="Arial"/>
          <w:color w:val="000000"/>
          <w:sz w:val="24"/>
        </w:rPr>
        <w:t xml:space="preserve">T </w:t>
      </w:r>
      <w:r>
        <w:rPr>
          <w:rFonts w:ascii="Arial"/>
          <w:color w:val="000000"/>
          <w:sz w:val="24"/>
        </w:rPr>
        <w:t>Prince</w:t>
      </w:r>
      <w:r>
        <w:rPr>
          <w:rFonts w:ascii="Arial"/>
          <w:i/>
          <w:color w:val="000000"/>
          <w:sz w:val="24"/>
        </w:rPr>
        <w:t xml:space="preserve"> Interpretation </w:t>
      </w:r>
      <w:r>
        <w:rPr>
          <w:rFonts w:ascii="Arial"/>
          <w:color w:val="000000"/>
          <w:sz w:val="24"/>
        </w:rPr>
        <w:t>(3</w:t>
      </w:r>
      <w:r>
        <w:rPr>
          <w:rFonts w:ascii="Arial"/>
          <w:color w:val="000000"/>
          <w:sz w:val="24"/>
        </w:rPr>
        <w:t>rd</w:t>
      </w:r>
      <w:r>
        <w:rPr>
          <w:rFonts w:ascii="Arial"/>
          <w:color w:val="000000"/>
          <w:sz w:val="24"/>
        </w:rPr>
        <w:t xml:space="preserve"> </w:t>
      </w:r>
      <w:r>
        <w:rPr>
          <w:rFonts w:ascii="Arial"/>
          <w:color w:val="000000"/>
          <w:sz w:val="24"/>
        </w:rPr>
        <w:t>ed</w:t>
      </w:r>
      <w:r>
        <w:rPr>
          <w:rFonts w:ascii="Arial"/>
          <w:color w:val="000000"/>
          <w:sz w:val="24"/>
        </w:rPr>
        <w:t xml:space="preserve">, 2024, </w:t>
      </w:r>
      <w:r>
        <w:rPr>
          <w:rFonts w:ascii="Arial"/>
          <w:color w:val="000000"/>
          <w:sz w:val="24"/>
        </w:rPr>
        <w:t>Law</w:t>
      </w:r>
      <w:r>
        <w:rPr>
          <w:rFonts w:ascii="Arial"/>
          <w:color w:val="000000"/>
          <w:sz w:val="24"/>
        </w:rPr>
        <w:t>b</w:t>
      </w:r>
      <w:r>
        <w:rPr>
          <w:rFonts w:ascii="Arial"/>
          <w:color w:val="000000"/>
          <w:sz w:val="24"/>
        </w:rPr>
        <w:t>ook Co</w:t>
      </w:r>
      <w:r>
        <w:rPr>
          <w:rFonts w:ascii="Arial"/>
          <w:color w:val="000000"/>
          <w:sz w:val="24"/>
        </w:rPr>
        <w:t xml:space="preserve">) at [2.190]; </w:t>
      </w:r>
      <w:r>
        <w:rPr>
          <w:rFonts w:ascii="Arial"/>
          <w:i/>
          <w:color w:val="000000"/>
          <w:sz w:val="24"/>
        </w:rPr>
        <w:t xml:space="preserve">R v AL </w:t>
      </w:r>
      <w:r>
        <w:rPr>
          <w:rFonts w:ascii="Arial"/>
          <w:color w:val="000000"/>
          <w:sz w:val="24"/>
        </w:rPr>
        <w:t xml:space="preserve">(2016) 260 A Crim R 153; [2016] VSCA 156 at [11]-[12]. Here the context would only serve to reinforce that presumption. </w:t>
      </w:r>
      <w:r>
        <w:rPr>
          <w:rFonts w:ascii="Arial"/>
          <w:color w:val="000000"/>
          <w:sz w:val="24"/>
        </w:rPr>
        <w:t>As a result</w:t>
      </w:r>
      <w:r>
        <w:rPr>
          <w:rFonts w:ascii="Arial"/>
          <w:color w:val="000000"/>
          <w:sz w:val="24"/>
        </w:rPr>
        <w:t>,</w:t>
      </w:r>
      <w:r>
        <w:rPr>
          <w:rFonts w:ascii="Arial"/>
          <w:color w:val="000000"/>
          <w:sz w:val="24"/>
        </w:rPr>
        <w:t xml:space="preserve"> </w:t>
      </w:r>
      <w:r>
        <w:rPr>
          <w:rFonts w:ascii="Arial"/>
          <w:color w:val="000000"/>
          <w:sz w:val="24"/>
        </w:rPr>
        <w:t xml:space="preserve">neither of these asserted approaches to </w:t>
      </w:r>
      <w:r>
        <w:rPr>
          <w:rFonts w:ascii="Arial"/>
          <w:color w:val="000000"/>
          <w:sz w:val="24"/>
        </w:rPr>
        <w:t xml:space="preserve">the </w:t>
      </w:r>
      <w:r>
        <w:rPr>
          <w:rFonts w:ascii="Arial"/>
          <w:color w:val="000000"/>
          <w:sz w:val="24"/>
        </w:rPr>
        <w:t xml:space="preserve">construction of cl 3(3)(d) </w:t>
      </w:r>
      <w:r>
        <w:rPr>
          <w:rFonts w:ascii="Arial"/>
          <w:color w:val="000000"/>
          <w:sz w:val="24"/>
        </w:rPr>
        <w:t>would be</w:t>
      </w:r>
      <w:r>
        <w:rPr>
          <w:rFonts w:ascii="Arial"/>
          <w:color w:val="000000"/>
          <w:sz w:val="24"/>
        </w:rPr>
        <w:t xml:space="preserve"> </w:t>
      </w:r>
      <w:r>
        <w:rPr>
          <w:rFonts w:ascii="Arial"/>
          <w:color w:val="000000"/>
          <w:sz w:val="24"/>
        </w:rPr>
        <w:t>sustainable</w:t>
      </w:r>
      <w:r>
        <w:rPr>
          <w:rFonts w:ascii="Arial"/>
          <w:color w:val="000000"/>
          <w:sz w:val="24"/>
        </w:rPr>
        <w:t>, even if there was evidence to that effect</w:t>
      </w:r>
      <w:r>
        <w:rPr>
          <w:rFonts w:ascii="Arial"/>
          <w:color w:val="000000"/>
          <w:sz w:val="24"/>
        </w:rPr>
        <w:t xml:space="preserve">. </w:t>
      </w:r>
    </w:p>
    <w:p>
      <w:pPr>
        <w:pStyle w:val="CaselawNumbered10"/>
        <w:numPr>
          <w:ilvl w:val="0"/>
          <w:numId w:val="47"/>
        </w:numPr>
        <w:spacing w:before="150" w:after="0"/>
        <w:ind w:left="600" w:hanging="600"/>
      </w:pPr>
      <w:r>
        <w:rPr>
          <w:rFonts w:ascii="Arial"/>
          <w:color w:val="000000"/>
          <w:sz w:val="24"/>
        </w:rPr>
        <w:t xml:space="preserve">Portelli has therefore failed to demonstrate that any dispute of fact about the trade meaning of </w:t>
      </w:r>
      <w:r>
        <w:rPr>
          <w:rFonts w:ascii="Arial"/>
          <w:color w:val="000000"/>
          <w:sz w:val="24"/>
        </w:rPr>
        <w:t>“</w:t>
      </w:r>
      <w:r>
        <w:rPr>
          <w:rFonts w:ascii="Arial"/>
          <w:color w:val="000000"/>
          <w:sz w:val="24"/>
        </w:rPr>
        <w:t>self-contained unit</w:t>
      </w:r>
      <w:r>
        <w:rPr>
          <w:rFonts w:ascii="Arial"/>
          <w:color w:val="000000"/>
          <w:sz w:val="24"/>
        </w:rPr>
        <w:t xml:space="preserve">” </w:t>
      </w:r>
      <w:r>
        <w:rPr>
          <w:rFonts w:ascii="Arial"/>
          <w:color w:val="000000"/>
          <w:sz w:val="24"/>
        </w:rPr>
        <w:t xml:space="preserve">is a serious </w:t>
      </w:r>
      <w:r>
        <w:rPr>
          <w:rFonts w:ascii="Arial"/>
          <w:color w:val="000000"/>
          <w:sz w:val="24"/>
        </w:rPr>
        <w:t xml:space="preserve">or substantial </w:t>
      </w:r>
      <w:r>
        <w:rPr>
          <w:rFonts w:ascii="Arial"/>
          <w:color w:val="000000"/>
          <w:sz w:val="24"/>
        </w:rPr>
        <w:t xml:space="preserve">dispute with a relevant bearing on the disposition of the present matter. </w:t>
      </w:r>
    </w:p>
    <w:p>
      <w:pPr>
        <w:pStyle w:val="CaselawNumbered10"/>
        <w:numPr>
          <w:ilvl w:val="0"/>
          <w:numId w:val="47"/>
        </w:numPr>
        <w:spacing w:before="150" w:after="0"/>
        <w:ind w:left="600" w:hanging="600"/>
      </w:pPr>
      <w:r>
        <w:rPr>
          <w:rFonts w:ascii="Arial"/>
          <w:color w:val="000000"/>
          <w:sz w:val="24"/>
        </w:rPr>
        <w:t xml:space="preserve">Portelli also submitted, albeit somewhat faintly, that there is an unresolved factual dispute about the character of the accommodation being constructed pursuant to the Contract. That submission should also be rejected. The character of the accommodation is readily apparent from the Contract, which is highly prescriptive as to the features of the buildings to be constructed, and from the design documents which were in evidence. There was no suggestion that those documents are not a reliable guide to the nature of the accommodation being constructed pursuant to the Contract. </w:t>
      </w:r>
      <w:r>
        <w:rPr>
          <w:rFonts w:ascii="Arial"/>
          <w:color w:val="000000"/>
          <w:sz w:val="24"/>
        </w:rPr>
        <w:t>Indeed</w:t>
      </w:r>
      <w:r>
        <w:rPr>
          <w:rFonts w:ascii="Arial"/>
          <w:color w:val="000000"/>
          <w:sz w:val="24"/>
        </w:rPr>
        <w:t>,</w:t>
      </w:r>
      <w:r>
        <w:rPr>
          <w:rFonts w:ascii="Arial"/>
          <w:color w:val="000000"/>
          <w:sz w:val="24"/>
        </w:rPr>
        <w:t xml:space="preserve"> </w:t>
      </w:r>
      <w:r>
        <w:rPr>
          <w:rFonts w:ascii="Arial"/>
          <w:color w:val="000000"/>
          <w:sz w:val="24"/>
        </w:rPr>
        <w:t xml:space="preserve">argument proceeded on the basis that they are. </w:t>
      </w:r>
    </w:p>
    <w:p>
      <w:pPr>
        <w:pStyle w:val="CaselawNumbered10"/>
        <w:numPr>
          <w:ilvl w:val="0"/>
          <w:numId w:val="47"/>
        </w:numPr>
        <w:spacing w:before="150" w:after="0"/>
        <w:ind w:left="600" w:hanging="600"/>
      </w:pPr>
      <w:r>
        <w:rPr>
          <w:rFonts w:ascii="Arial"/>
          <w:color w:val="000000"/>
          <w:sz w:val="24"/>
        </w:rPr>
        <w:t xml:space="preserve">Moreover, the proper operation of the </w:t>
      </w:r>
      <w:r>
        <w:rPr>
          <w:rFonts w:ascii="Arial"/>
          <w:i/>
          <w:color w:val="000000"/>
          <w:sz w:val="24"/>
        </w:rPr>
        <w:t xml:space="preserve">Home Building Act </w:t>
      </w:r>
      <w:r>
        <w:rPr>
          <w:rFonts w:ascii="Arial"/>
          <w:color w:val="000000"/>
          <w:sz w:val="24"/>
        </w:rPr>
        <w:t xml:space="preserve">assumes that the classification of building work under that Act, including on the decisive question of whether the work is or is not </w:t>
      </w:r>
      <w:r>
        <w:rPr>
          <w:rFonts w:ascii="Arial"/>
          <w:color w:val="000000"/>
          <w:sz w:val="24"/>
        </w:rPr>
        <w:t>“</w:t>
      </w:r>
      <w:r>
        <w:rPr>
          <w:rFonts w:ascii="Arial"/>
          <w:color w:val="000000"/>
          <w:sz w:val="24"/>
        </w:rPr>
        <w:t>residential building work</w:t>
      </w:r>
      <w:r>
        <w:rPr>
          <w:rFonts w:ascii="Arial"/>
          <w:color w:val="000000"/>
          <w:sz w:val="24"/>
        </w:rPr>
        <w:t>”</w:t>
      </w:r>
      <w:r>
        <w:rPr>
          <w:rFonts w:ascii="Arial"/>
          <w:color w:val="000000"/>
          <w:sz w:val="24"/>
        </w:rPr>
        <w:t xml:space="preserve">, is </w:t>
      </w:r>
      <w:r>
        <w:rPr>
          <w:rFonts w:ascii="Arial"/>
          <w:color w:val="000000"/>
          <w:sz w:val="24"/>
        </w:rPr>
        <w:t xml:space="preserve">something that is </w:t>
      </w:r>
      <w:r>
        <w:rPr>
          <w:rFonts w:ascii="Arial"/>
          <w:color w:val="000000"/>
          <w:sz w:val="24"/>
        </w:rPr>
        <w:t xml:space="preserve">capable of being </w:t>
      </w:r>
      <w:r>
        <w:rPr>
          <w:rFonts w:ascii="Arial"/>
          <w:color w:val="000000"/>
          <w:sz w:val="24"/>
        </w:rPr>
        <w:t xml:space="preserve">determined at the outset of construction work. Among other things, that follows from the requirement not to do any </w:t>
      </w:r>
      <w:r>
        <w:rPr>
          <w:rFonts w:ascii="Arial"/>
          <w:color w:val="000000"/>
          <w:sz w:val="24"/>
        </w:rPr>
        <w:t>“</w:t>
      </w:r>
      <w:r>
        <w:rPr>
          <w:rFonts w:ascii="Arial"/>
          <w:color w:val="000000"/>
          <w:sz w:val="24"/>
        </w:rPr>
        <w:t>residential building work</w:t>
      </w:r>
      <w:r>
        <w:rPr>
          <w:rFonts w:ascii="Arial"/>
          <w:color w:val="000000"/>
          <w:sz w:val="24"/>
        </w:rPr>
        <w:t xml:space="preserve">” </w:t>
      </w:r>
      <w:r>
        <w:rPr>
          <w:rFonts w:ascii="Arial"/>
          <w:color w:val="000000"/>
          <w:sz w:val="24"/>
        </w:rPr>
        <w:t xml:space="preserve">under a contract unless a compliant contract of insurance is in force in relation to that work: s 92 of the </w:t>
      </w:r>
      <w:r>
        <w:rPr>
          <w:rFonts w:ascii="Arial"/>
          <w:i/>
          <w:color w:val="000000"/>
          <w:sz w:val="24"/>
        </w:rPr>
        <w:t>Home Building Act</w:t>
      </w:r>
      <w:r>
        <w:rPr>
          <w:rFonts w:ascii="Arial"/>
          <w:color w:val="000000"/>
          <w:sz w:val="24"/>
        </w:rPr>
        <w:t>.</w:t>
      </w:r>
      <w:r>
        <w:rPr>
          <w:rFonts w:ascii="Arial"/>
          <w:color w:val="000000"/>
          <w:sz w:val="24"/>
        </w:rPr>
        <w:t xml:space="preserve"> </w:t>
      </w:r>
      <w:r>
        <w:rPr>
          <w:rFonts w:ascii="Arial"/>
          <w:color w:val="000000"/>
          <w:sz w:val="24"/>
        </w:rPr>
        <w:t>Given that context, the characterisation of building work does not depend, as Portelli</w:t>
      </w:r>
      <w:r>
        <w:rPr>
          <w:rFonts w:ascii="Arial"/>
          <w:color w:val="000000"/>
          <w:sz w:val="24"/>
        </w:rPr>
        <w:t>’</w:t>
      </w:r>
      <w:r>
        <w:rPr>
          <w:rFonts w:ascii="Arial"/>
          <w:color w:val="000000"/>
          <w:sz w:val="24"/>
        </w:rPr>
        <w:t xml:space="preserve">s submissions suggested, on such matters as how the building is in fact </w:t>
      </w:r>
      <w:r>
        <w:rPr>
          <w:rFonts w:ascii="Arial"/>
          <w:color w:val="000000"/>
          <w:sz w:val="24"/>
        </w:rPr>
        <w:t xml:space="preserve">likely to be </w:t>
      </w:r>
      <w:r>
        <w:rPr>
          <w:rFonts w:ascii="Arial"/>
          <w:color w:val="000000"/>
          <w:sz w:val="24"/>
        </w:rPr>
        <w:t xml:space="preserve">used once constructed. </w:t>
      </w:r>
    </w:p>
    <w:p>
      <w:pPr>
        <w:pStyle w:val="CaselawHeading2"/>
        <w:keepNext/>
        <w:spacing w:before="150" w:after="150" w:line="264"/>
        <w:ind w:left="0"/>
        <w:jc w:val="left"/>
      </w:pPr>
      <w:r>
        <w:rPr>
          <w:rFonts w:ascii="Arial"/>
        </w:rPr>
        <w:t>Conclusion and orders</w:t>
      </w:r>
    </w:p>
    <w:p>
      <w:pPr>
        <w:pStyle w:val="CaselawNumbered10"/>
        <w:numPr>
          <w:ilvl w:val="0"/>
          <w:numId w:val="48"/>
        </w:numPr>
        <w:spacing w:before="150" w:after="0"/>
        <w:ind w:left="600" w:hanging="600"/>
      </w:pPr>
      <w:r>
        <w:rPr>
          <w:rFonts w:ascii="Arial"/>
          <w:color w:val="000000"/>
          <w:sz w:val="24"/>
        </w:rPr>
        <w:t xml:space="preserve">None of the grounds in the draft notice of appeal </w:t>
      </w:r>
      <w:r>
        <w:rPr>
          <w:rFonts w:ascii="Arial"/>
          <w:color w:val="000000"/>
          <w:sz w:val="24"/>
        </w:rPr>
        <w:t>is established</w:t>
      </w:r>
      <w:r>
        <w:rPr>
          <w:rFonts w:ascii="Arial"/>
          <w:color w:val="000000"/>
          <w:sz w:val="24"/>
        </w:rPr>
        <w:t xml:space="preserve">. In circumstances where Portelli sought to raise issues of principle under the </w:t>
      </w:r>
      <w:r>
        <w:rPr>
          <w:rFonts w:ascii="Arial"/>
          <w:color w:val="000000"/>
          <w:sz w:val="24"/>
        </w:rPr>
        <w:t>SOP</w:t>
      </w:r>
      <w:r>
        <w:rPr>
          <w:rFonts w:ascii="Arial"/>
          <w:color w:val="000000"/>
          <w:sz w:val="24"/>
        </w:rPr>
        <w:t> </w:t>
      </w:r>
      <w:r>
        <w:rPr>
          <w:rFonts w:ascii="Arial"/>
          <w:color w:val="000000"/>
          <w:sz w:val="24"/>
        </w:rPr>
        <w:t>Act</w:t>
      </w:r>
      <w:r>
        <w:rPr>
          <w:rFonts w:ascii="Arial"/>
          <w:color w:val="000000"/>
          <w:sz w:val="24"/>
        </w:rPr>
        <w:t>, it is appropriate that leave be granted</w:t>
      </w:r>
      <w:r>
        <w:rPr>
          <w:rFonts w:ascii="Arial"/>
          <w:color w:val="000000"/>
          <w:sz w:val="24"/>
        </w:rPr>
        <w:t>. However,</w:t>
      </w:r>
      <w:r>
        <w:rPr>
          <w:rFonts w:ascii="Arial"/>
          <w:color w:val="000000"/>
          <w:sz w:val="24"/>
        </w:rPr>
        <w:t xml:space="preserve"> </w:t>
      </w:r>
      <w:r>
        <w:rPr>
          <w:rFonts w:ascii="Arial"/>
          <w:color w:val="000000"/>
          <w:sz w:val="24"/>
        </w:rPr>
        <w:t xml:space="preserve">the appeal </w:t>
      </w:r>
      <w:r>
        <w:rPr>
          <w:rFonts w:ascii="Arial"/>
          <w:color w:val="000000"/>
          <w:sz w:val="24"/>
        </w:rPr>
        <w:t xml:space="preserve">should be </w:t>
      </w:r>
      <w:r>
        <w:rPr>
          <w:rFonts w:ascii="Arial"/>
          <w:color w:val="000000"/>
          <w:sz w:val="24"/>
        </w:rPr>
        <w:t xml:space="preserve">dismissed. </w:t>
      </w:r>
    </w:p>
    <w:p>
      <w:pPr>
        <w:pStyle w:val="CaselawNumbered10"/>
        <w:numPr>
          <w:ilvl w:val="0"/>
          <w:numId w:val="48"/>
        </w:numPr>
        <w:spacing w:before="150" w:after="0"/>
        <w:ind w:left="600" w:hanging="600"/>
      </w:pPr>
      <w:r>
        <w:rPr>
          <w:rFonts w:ascii="Arial"/>
          <w:color w:val="000000"/>
          <w:sz w:val="24"/>
        </w:rPr>
        <w:t>The Court was advised by the parties that, pursuant to orders made by Richmond J on 2 January 2026, Portelli has paid into Court</w:t>
      </w:r>
      <w:r>
        <w:rPr>
          <w:rFonts w:ascii="Arial"/>
          <w:color w:val="000000"/>
          <w:sz w:val="24"/>
        </w:rPr>
        <w:t xml:space="preserve"> </w:t>
      </w:r>
      <w:r>
        <w:rPr>
          <w:rFonts w:ascii="Arial"/>
          <w:color w:val="000000"/>
          <w:sz w:val="24"/>
        </w:rPr>
        <w:t>$3,822,378.26</w:t>
      </w:r>
      <w:r>
        <w:rPr>
          <w:rFonts w:ascii="Arial"/>
          <w:color w:val="000000"/>
          <w:sz w:val="24"/>
        </w:rPr>
        <w:t xml:space="preserve">. Senior Counsel for Portelli </w:t>
      </w:r>
      <w:r>
        <w:rPr>
          <w:rFonts w:ascii="Arial"/>
          <w:color w:val="000000"/>
          <w:sz w:val="24"/>
        </w:rPr>
        <w:t>accepted</w:t>
      </w:r>
      <w:r>
        <w:rPr>
          <w:rFonts w:ascii="Arial"/>
          <w:color w:val="000000"/>
          <w:sz w:val="24"/>
        </w:rPr>
        <w:t xml:space="preserve"> </w:t>
      </w:r>
      <w:r>
        <w:rPr>
          <w:rFonts w:ascii="Arial"/>
          <w:color w:val="000000"/>
          <w:sz w:val="24"/>
        </w:rPr>
        <w:t xml:space="preserve">that </w:t>
      </w:r>
      <w:r>
        <w:rPr>
          <w:rFonts w:ascii="Arial"/>
          <w:color w:val="000000"/>
          <w:sz w:val="24"/>
        </w:rPr>
        <w:t>in the event that</w:t>
      </w:r>
      <w:r>
        <w:rPr>
          <w:rFonts w:ascii="Arial"/>
          <w:color w:val="000000"/>
          <w:sz w:val="24"/>
        </w:rPr>
        <w:t xml:space="preserve"> </w:t>
      </w:r>
      <w:r>
        <w:rPr>
          <w:rFonts w:ascii="Arial"/>
          <w:color w:val="000000"/>
          <w:sz w:val="24"/>
        </w:rPr>
        <w:t xml:space="preserve">the appeal was </w:t>
      </w:r>
      <w:r>
        <w:rPr>
          <w:rFonts w:ascii="Arial"/>
          <w:color w:val="000000"/>
          <w:sz w:val="24"/>
        </w:rPr>
        <w:t>unsuccessful</w:t>
      </w:r>
      <w:r>
        <w:rPr>
          <w:rFonts w:ascii="Arial"/>
          <w:color w:val="000000"/>
          <w:sz w:val="24"/>
        </w:rPr>
        <w:t xml:space="preserve"> </w:t>
      </w:r>
      <w:r>
        <w:rPr>
          <w:rFonts w:ascii="Arial"/>
          <w:color w:val="000000"/>
          <w:sz w:val="24"/>
        </w:rPr>
        <w:t xml:space="preserve">there would be no reason why the Court should not order that the amount be paid out to Black Sheep forthwith. An order to that effect should be made </w:t>
      </w:r>
      <w:r>
        <w:rPr>
          <w:rFonts w:ascii="Arial"/>
          <w:color w:val="000000"/>
          <w:sz w:val="24"/>
        </w:rPr>
        <w:t>in light of</w:t>
      </w:r>
      <w:r>
        <w:rPr>
          <w:rFonts w:ascii="Arial"/>
          <w:color w:val="000000"/>
          <w:sz w:val="24"/>
        </w:rPr>
        <w:t xml:space="preserve"> </w:t>
      </w:r>
      <w:r>
        <w:rPr>
          <w:rFonts w:ascii="Arial"/>
          <w:color w:val="000000"/>
          <w:sz w:val="24"/>
        </w:rPr>
        <w:t xml:space="preserve">the outcome of this appeal. </w:t>
      </w:r>
    </w:p>
    <w:p>
      <w:pPr>
        <w:pStyle w:val="CaselawNumbered10"/>
        <w:numPr>
          <w:ilvl w:val="0"/>
          <w:numId w:val="48"/>
        </w:numPr>
        <w:spacing w:before="150" w:after="0"/>
        <w:ind w:left="600" w:hanging="600"/>
      </w:pPr>
      <w:r>
        <w:rPr>
          <w:rFonts w:ascii="Arial"/>
          <w:color w:val="000000"/>
          <w:sz w:val="24"/>
        </w:rPr>
        <w:t>The orders that I would make are:</w:t>
      </w:r>
    </w:p>
    <w:p>
      <w:pPr>
        <w:pStyle w:val="CaselawNumbered1"/>
        <w:numPr>
          <w:ilvl w:val="0"/>
          <w:numId w:val="49"/>
        </w:numPr>
        <w:spacing w:before="150" w:after="0"/>
        <w:ind w:left="1350" w:hanging="750"/>
      </w:pPr>
      <w:r>
        <w:rPr>
          <w:rFonts w:ascii="Arial"/>
          <w:color w:val="000000"/>
          <w:sz w:val="24"/>
        </w:rPr>
        <w:t xml:space="preserve">Leave </w:t>
      </w:r>
      <w:r>
        <w:rPr>
          <w:rFonts w:ascii="Arial"/>
          <w:color w:val="000000"/>
          <w:sz w:val="24"/>
        </w:rPr>
        <w:t>to appeal is granted.</w:t>
      </w:r>
    </w:p>
    <w:p>
      <w:pPr>
        <w:pStyle w:val="CaselawNumbered1"/>
        <w:numPr>
          <w:ilvl w:val="0"/>
          <w:numId w:val="49"/>
        </w:numPr>
        <w:spacing w:before="150" w:after="0"/>
        <w:ind w:left="1350" w:hanging="750"/>
      </w:pPr>
      <w:r>
        <w:rPr>
          <w:rFonts w:ascii="Arial"/>
          <w:color w:val="000000"/>
          <w:sz w:val="24"/>
        </w:rPr>
        <w:t>Appeal dismissed.</w:t>
      </w:r>
    </w:p>
    <w:p>
      <w:pPr>
        <w:pStyle w:val="CaselawNumbered1"/>
        <w:numPr>
          <w:ilvl w:val="0"/>
          <w:numId w:val="49"/>
        </w:numPr>
        <w:spacing w:before="150" w:after="0"/>
        <w:ind w:left="1350" w:hanging="750"/>
      </w:pPr>
      <w:r>
        <w:rPr>
          <w:rFonts w:ascii="Arial"/>
          <w:color w:val="000000"/>
          <w:sz w:val="24"/>
        </w:rPr>
        <w:t>The appellant is to pay the respondent</w:t>
      </w:r>
      <w:r>
        <w:rPr>
          <w:rFonts w:ascii="Arial"/>
          <w:color w:val="000000"/>
          <w:sz w:val="24"/>
        </w:rPr>
        <w:t>’</w:t>
      </w:r>
      <w:r>
        <w:rPr>
          <w:rFonts w:ascii="Arial"/>
          <w:color w:val="000000"/>
          <w:sz w:val="24"/>
        </w:rPr>
        <w:t>s costs.</w:t>
      </w:r>
    </w:p>
    <w:p>
      <w:pPr>
        <w:pStyle w:val="CaselawNumbered1"/>
        <w:numPr>
          <w:ilvl w:val="0"/>
          <w:numId w:val="49"/>
        </w:numPr>
        <w:spacing w:before="150" w:after="0"/>
        <w:ind w:left="1350" w:hanging="750"/>
      </w:pPr>
      <w:r>
        <w:rPr>
          <w:rFonts w:ascii="Arial"/>
          <w:color w:val="000000"/>
          <w:sz w:val="24"/>
        </w:rPr>
        <w:t>The amount of $3,822,378.26 which was paid into Court by the appellant is to be paid out forthwith to the respondent.</w:t>
      </w:r>
    </w:p>
    <w:p>
      <w:pPr>
        <w:pStyle w:val="CaselawNumbered10"/>
        <w:numPr>
          <w:ilvl w:val="0"/>
          <w:numId w:val="50"/>
        </w:numPr>
        <w:spacing w:before="150" w:after="0"/>
        <w:ind w:left="600" w:hanging="600"/>
      </w:pPr>
      <w:r>
        <w:rPr>
          <w:rFonts w:ascii="Arial"/>
          <w:b/>
          <w:color w:val="000000"/>
          <w:sz w:val="24"/>
        </w:rPr>
        <w:t xml:space="preserve">GRIFFITHS AJA: </w:t>
      </w:r>
      <w:r>
        <w:rPr>
          <w:rFonts w:ascii="Arial"/>
          <w:color w:val="000000"/>
          <w:sz w:val="24"/>
        </w:rPr>
        <w:t>I agree with Free JA.</w:t>
      </w:r>
      <w:r>
        <w:rPr>
          <w:rFonts w:ascii="Arial"/>
          <w:b/>
          <w:color w:val="000000"/>
          <w:sz w:val="24"/>
        </w:rPr>
        <w:t xml:space="preserve"> </w:t>
      </w:r>
    </w:p>
    <w:p>
      <w:pPr>
        <w:pStyle w:val="CaselawNormal"/>
        <w:spacing w:before="150" w:after="150"/>
        <w:ind w:left="600"/>
        <w:jc w:val="left"/>
      </w:pPr>
      <w:r>
        <w:rPr>
          <w:rFonts w:ascii="Arial"/>
          <w:color w:val="000000"/>
          <w:sz w:val="24"/>
        </w:rPr>
        <w:t>**********</w:t>
      </w:r>
    </w:p>
    <w:p w:rsidR="00F65F85" w:rsidP="00F65F85" w:rsidRDefault="00F65F85">
      <w:pPr>
        <w:shd w:val="clear" w:color="auto" w:fill="FFFFFF"/>
        <w:spacing w:after="0" w:line="240" w:lineRule="auto"/>
        <w:ind w:left="119"/>
        <w:rPr>
          <w:rFonts w:cs="Arial"/>
          <w:color w:val="737373"/>
          <w:sz w:val="20"/>
          <w:szCs w:val="20"/>
          <w:lang w:eastAsia="en-US"/>
        </w:rPr>
      </w:pPr>
    </w:p>
    <w:p w:rsidR="00121EC3" w:rsidP="00F65F85" w:rsidRDefault="00121EC3">
      <w:pPr>
        <w:shd w:val="clear" w:color="auto" w:fill="FFFFFF"/>
        <w:spacing w:after="0" w:line="240" w:lineRule="auto"/>
        <w:ind w:left="119"/>
        <w:rPr>
          <w:rFonts w:cs="Arial"/>
          <w:color w:val="737373"/>
          <w:sz w:val="20"/>
          <w:szCs w:val="20"/>
          <w:lang w:eastAsia="en-US"/>
        </w:rPr>
      </w:pPr>
      <w:bookmarkStart w:name="_GoBack" w:id="0"/>
      <w:bookmarkEnd w:id="0"/>
    </w:p>
    <w:p w:rsidRPr="00820AFE" w:rsidR="004C5062" w:rsidP="00121EC3" w:rsidRDefault="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Pr="00820AFE" w:rsidR="004C50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5B" w:rsidRDefault="00882F5B" w:rsidP="0049645A">
      <w:pPr>
        <w:spacing w:after="0" w:line="240" w:lineRule="auto"/>
      </w:pPr>
      <w:r>
        <w:separator/>
      </w:r>
    </w:p>
  </w:endnote>
  <w:endnote w:type="continuationSeparator" w:id="0">
    <w:p w:rsidR="00882F5B" w:rsidRDefault="00882F5B" w:rsidP="004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5B" w:rsidRDefault="00882F5B" w:rsidP="0049645A">
      <w:pPr>
        <w:spacing w:after="0" w:line="240" w:lineRule="auto"/>
      </w:pPr>
      <w:r>
        <w:separator/>
      </w:r>
    </w:p>
  </w:footnote>
  <w:footnote w:type="continuationSeparator" w:id="0">
    <w:p w:rsidR="00882F5B" w:rsidRDefault="00882F5B" w:rsidP="0049645A">
      <w:pPr>
        <w:spacing w:after="0" w:line="240" w:lineRule="auto"/>
      </w:pPr>
      <w:r>
        <w:continuationSeparator/>
      </w:r>
    </w:p>
  </w:footnote>
</w:footnotes>
</file>

<file path=word/numbering.xml><?xml version="1.0" encoding="utf-8"?>
<w:numbering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abstractNum w:abstractNumId="0">
    <w:nsid w:val="FFFFFF89"/>
    <w:multiLevelType w:val="singleLevel"/>
    <w:tmpl w:val="37A06812"/>
    <w:lvl w:ilvl="0">
      <w:start w:val="1"/>
      <w:numFmt w:val="bullet"/>
      <w:pStyle w:val="ListBullet"/>
      <w:lvlText w:val=""/>
      <w:lvlJc w:val="left"/>
      <w:pPr>
        <w:tabs>
          <w:tab w:val="num" w:pos="360"/>
        </w:tabs>
        <w:ind w:left="360" w:hanging="360"/>
      </w:pPr>
      <w:rPr>
        <w:rFonts w:hint="default" w:ascii="Symbol" w:hAnsi="Symbol"/>
      </w:rPr>
    </w:lvl>
  </w:abstractNum>
  <w:abstractNum w:abstractNumId="1">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hint="default" w:ascii="Symbol" w:hAnsi="Symbol"/>
      </w:rPr>
    </w:lvl>
    <w:lvl w:ilvl="1" w:tplc="04090003">
      <w:start w:val="1"/>
      <w:numFmt w:val="bullet"/>
      <w:lvlText w:val="o"/>
      <w:lvlJc w:val="left"/>
      <w:pPr>
        <w:tabs>
          <w:tab w:val="num" w:pos="2007"/>
        </w:tabs>
        <w:ind w:left="2007" w:hanging="360"/>
      </w:pPr>
      <w:rPr>
        <w:rFonts w:hint="default" w:ascii="Courier New" w:hAnsi="Courier New" w:cs="Times New Roman"/>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Times New Roman"/>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Times New Roman"/>
      </w:rPr>
    </w:lvl>
    <w:lvl w:ilvl="8" w:tplc="04090005">
      <w:start w:val="1"/>
      <w:numFmt w:val="bullet"/>
      <w:lvlText w:val=""/>
      <w:lvlJc w:val="left"/>
      <w:pPr>
        <w:tabs>
          <w:tab w:val="num" w:pos="7047"/>
        </w:tabs>
        <w:ind w:left="7047" w:hanging="360"/>
      </w:pPr>
      <w:rPr>
        <w:rFonts w:hint="default" w:ascii="Wingdings" w:hAnsi="Wingdings"/>
      </w:rPr>
    </w:lvl>
  </w:abstractNum>
  <w:abstractNum w:abstractNumId="2">
    <w:nsid w:val="138E60B1"/>
    <w:multiLevelType w:val="singleLevel"/>
    <w:tmpl w:val="1EBA084E"/>
    <w:lvl w:ilvl="0">
      <w:start w:val="1"/>
      <w:numFmt w:val="bullet"/>
      <w:pStyle w:val="ListwithBullet"/>
      <w:lvlText w:val=""/>
      <w:lvlJc w:val="left"/>
      <w:pPr>
        <w:tabs>
          <w:tab w:val="num" w:pos="720"/>
        </w:tabs>
        <w:ind w:left="720" w:hanging="360"/>
      </w:pPr>
      <w:rPr>
        <w:rFonts w:hint="default" w:ascii="Wingdings" w:hAnsi="Wingdings"/>
        <w:sz w:val="12"/>
      </w:rPr>
    </w:lvl>
  </w:abstractNum>
  <w:abstractNum w:abstractNumId="3">
    <w:nsid w:val="1399788B"/>
    <w:multiLevelType w:val="hybridMultilevel"/>
    <w:tmpl w:val="8DFA16E2"/>
    <w:lvl w:ilvl="0" w:tplc="41E6A8CC">
      <w:start w:val="1"/>
      <w:numFmt w:val="bullet"/>
      <w:lvlText w:val="•"/>
      <w:lvlJc w:val="left"/>
      <w:pPr>
        <w:tabs>
          <w:tab w:val="num" w:pos="720"/>
        </w:tabs>
        <w:ind w:left="720" w:hanging="360"/>
      </w:pPr>
      <w:rPr>
        <w:rFonts w:hint="default" w:ascii="Arial" w:hAnsi="Arial" w:cs="Times New Roman"/>
      </w:rPr>
    </w:lvl>
    <w:lvl w:ilvl="1" w:tplc="3D0A3894">
      <w:start w:val="1"/>
      <w:numFmt w:val="bullet"/>
      <w:lvlText w:val="•"/>
      <w:lvlJc w:val="left"/>
      <w:pPr>
        <w:tabs>
          <w:tab w:val="num" w:pos="1440"/>
        </w:tabs>
        <w:ind w:left="1440" w:hanging="360"/>
      </w:pPr>
      <w:rPr>
        <w:rFonts w:hint="default" w:ascii="Arial" w:hAnsi="Arial" w:cs="Times New Roman"/>
      </w:rPr>
    </w:lvl>
    <w:lvl w:ilvl="2" w:tplc="D6DE8A02">
      <w:start w:val="1"/>
      <w:numFmt w:val="bullet"/>
      <w:lvlText w:val="•"/>
      <w:lvlJc w:val="left"/>
      <w:pPr>
        <w:tabs>
          <w:tab w:val="num" w:pos="2160"/>
        </w:tabs>
        <w:ind w:left="2160" w:hanging="360"/>
      </w:pPr>
      <w:rPr>
        <w:rFonts w:hint="default" w:ascii="Arial" w:hAnsi="Arial" w:cs="Times New Roman"/>
      </w:rPr>
    </w:lvl>
    <w:lvl w:ilvl="3" w:tplc="0DEEE040">
      <w:start w:val="1"/>
      <w:numFmt w:val="bullet"/>
      <w:lvlText w:val="•"/>
      <w:lvlJc w:val="left"/>
      <w:pPr>
        <w:tabs>
          <w:tab w:val="num" w:pos="2880"/>
        </w:tabs>
        <w:ind w:left="2880" w:hanging="360"/>
      </w:pPr>
      <w:rPr>
        <w:rFonts w:hint="default" w:ascii="Arial" w:hAnsi="Arial" w:cs="Times New Roman"/>
      </w:rPr>
    </w:lvl>
    <w:lvl w:ilvl="4" w:tplc="9D2C3098">
      <w:start w:val="1"/>
      <w:numFmt w:val="bullet"/>
      <w:lvlText w:val="•"/>
      <w:lvlJc w:val="left"/>
      <w:pPr>
        <w:tabs>
          <w:tab w:val="num" w:pos="3600"/>
        </w:tabs>
        <w:ind w:left="3600" w:hanging="360"/>
      </w:pPr>
      <w:rPr>
        <w:rFonts w:hint="default" w:ascii="Arial" w:hAnsi="Arial" w:cs="Times New Roman"/>
      </w:rPr>
    </w:lvl>
    <w:lvl w:ilvl="5" w:tplc="8E34C874">
      <w:start w:val="1"/>
      <w:numFmt w:val="bullet"/>
      <w:lvlText w:val="•"/>
      <w:lvlJc w:val="left"/>
      <w:pPr>
        <w:tabs>
          <w:tab w:val="num" w:pos="4320"/>
        </w:tabs>
        <w:ind w:left="4320" w:hanging="360"/>
      </w:pPr>
      <w:rPr>
        <w:rFonts w:hint="default" w:ascii="Arial" w:hAnsi="Arial" w:cs="Times New Roman"/>
      </w:rPr>
    </w:lvl>
    <w:lvl w:ilvl="6" w:tplc="861EB0D4">
      <w:start w:val="1"/>
      <w:numFmt w:val="bullet"/>
      <w:lvlText w:val="•"/>
      <w:lvlJc w:val="left"/>
      <w:pPr>
        <w:tabs>
          <w:tab w:val="num" w:pos="5040"/>
        </w:tabs>
        <w:ind w:left="5040" w:hanging="360"/>
      </w:pPr>
      <w:rPr>
        <w:rFonts w:hint="default" w:ascii="Arial" w:hAnsi="Arial" w:cs="Times New Roman"/>
      </w:rPr>
    </w:lvl>
    <w:lvl w:ilvl="7" w:tplc="5932446E">
      <w:start w:val="1"/>
      <w:numFmt w:val="bullet"/>
      <w:lvlText w:val="•"/>
      <w:lvlJc w:val="left"/>
      <w:pPr>
        <w:tabs>
          <w:tab w:val="num" w:pos="5760"/>
        </w:tabs>
        <w:ind w:left="5760" w:hanging="360"/>
      </w:pPr>
      <w:rPr>
        <w:rFonts w:hint="default" w:ascii="Arial" w:hAnsi="Arial" w:cs="Times New Roman"/>
      </w:rPr>
    </w:lvl>
    <w:lvl w:ilvl="8" w:tplc="969C7920">
      <w:start w:val="1"/>
      <w:numFmt w:val="bullet"/>
      <w:lvlText w:val="•"/>
      <w:lvlJc w:val="left"/>
      <w:pPr>
        <w:tabs>
          <w:tab w:val="num" w:pos="6480"/>
        </w:tabs>
        <w:ind w:left="6480" w:hanging="360"/>
      </w:pPr>
      <w:rPr>
        <w:rFonts w:hint="default" w:ascii="Arial" w:hAnsi="Arial" w:cs="Times New Roman"/>
      </w:rPr>
    </w:lvl>
  </w:abstractNum>
  <w:abstractNum w:abstractNumId="4">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236B011C"/>
    <w:multiLevelType w:val="hybridMultilevel"/>
    <w:tmpl w:val="A1D054F8"/>
    <w:lvl w:ilvl="0" w:tplc="345AD890">
      <w:start w:val="1"/>
      <w:numFmt w:val="bullet"/>
      <w:lvlText w:val="•"/>
      <w:lvlJc w:val="left"/>
      <w:pPr>
        <w:tabs>
          <w:tab w:val="num" w:pos="720"/>
        </w:tabs>
        <w:ind w:left="720" w:hanging="360"/>
      </w:pPr>
      <w:rPr>
        <w:rFonts w:hint="default" w:ascii="Arial" w:hAnsi="Arial" w:cs="Times New Roman"/>
      </w:rPr>
    </w:lvl>
    <w:lvl w:ilvl="1" w:tplc="C2A25116">
      <w:start w:val="1"/>
      <w:numFmt w:val="bullet"/>
      <w:lvlText w:val="•"/>
      <w:lvlJc w:val="left"/>
      <w:pPr>
        <w:tabs>
          <w:tab w:val="num" w:pos="1440"/>
        </w:tabs>
        <w:ind w:left="1440" w:hanging="360"/>
      </w:pPr>
      <w:rPr>
        <w:rFonts w:hint="default" w:ascii="Arial" w:hAnsi="Arial" w:cs="Times New Roman"/>
      </w:rPr>
    </w:lvl>
    <w:lvl w:ilvl="2" w:tplc="1952B01E">
      <w:start w:val="1"/>
      <w:numFmt w:val="bullet"/>
      <w:lvlText w:val="•"/>
      <w:lvlJc w:val="left"/>
      <w:pPr>
        <w:tabs>
          <w:tab w:val="num" w:pos="2160"/>
        </w:tabs>
        <w:ind w:left="2160" w:hanging="360"/>
      </w:pPr>
      <w:rPr>
        <w:rFonts w:hint="default" w:ascii="Arial" w:hAnsi="Arial" w:cs="Times New Roman"/>
      </w:rPr>
    </w:lvl>
    <w:lvl w:ilvl="3" w:tplc="FAF67244">
      <w:start w:val="1"/>
      <w:numFmt w:val="bullet"/>
      <w:lvlText w:val="•"/>
      <w:lvlJc w:val="left"/>
      <w:pPr>
        <w:tabs>
          <w:tab w:val="num" w:pos="2880"/>
        </w:tabs>
        <w:ind w:left="2880" w:hanging="360"/>
      </w:pPr>
      <w:rPr>
        <w:rFonts w:hint="default" w:ascii="Arial" w:hAnsi="Arial" w:cs="Times New Roman"/>
      </w:rPr>
    </w:lvl>
    <w:lvl w:ilvl="4" w:tplc="2C68FAE2">
      <w:start w:val="1"/>
      <w:numFmt w:val="bullet"/>
      <w:lvlText w:val="•"/>
      <w:lvlJc w:val="left"/>
      <w:pPr>
        <w:tabs>
          <w:tab w:val="num" w:pos="3600"/>
        </w:tabs>
        <w:ind w:left="3600" w:hanging="360"/>
      </w:pPr>
      <w:rPr>
        <w:rFonts w:hint="default" w:ascii="Arial" w:hAnsi="Arial" w:cs="Times New Roman"/>
      </w:rPr>
    </w:lvl>
    <w:lvl w:ilvl="5" w:tplc="665AEB92">
      <w:start w:val="1"/>
      <w:numFmt w:val="bullet"/>
      <w:lvlText w:val="•"/>
      <w:lvlJc w:val="left"/>
      <w:pPr>
        <w:tabs>
          <w:tab w:val="num" w:pos="4320"/>
        </w:tabs>
        <w:ind w:left="4320" w:hanging="360"/>
      </w:pPr>
      <w:rPr>
        <w:rFonts w:hint="default" w:ascii="Arial" w:hAnsi="Arial" w:cs="Times New Roman"/>
      </w:rPr>
    </w:lvl>
    <w:lvl w:ilvl="6" w:tplc="E1841134">
      <w:start w:val="1"/>
      <w:numFmt w:val="bullet"/>
      <w:lvlText w:val="•"/>
      <w:lvlJc w:val="left"/>
      <w:pPr>
        <w:tabs>
          <w:tab w:val="num" w:pos="5040"/>
        </w:tabs>
        <w:ind w:left="5040" w:hanging="360"/>
      </w:pPr>
      <w:rPr>
        <w:rFonts w:hint="default" w:ascii="Arial" w:hAnsi="Arial" w:cs="Times New Roman"/>
      </w:rPr>
    </w:lvl>
    <w:lvl w:ilvl="7" w:tplc="786C417E">
      <w:start w:val="1"/>
      <w:numFmt w:val="bullet"/>
      <w:lvlText w:val="•"/>
      <w:lvlJc w:val="left"/>
      <w:pPr>
        <w:tabs>
          <w:tab w:val="num" w:pos="5760"/>
        </w:tabs>
        <w:ind w:left="5760" w:hanging="360"/>
      </w:pPr>
      <w:rPr>
        <w:rFonts w:hint="default" w:ascii="Arial" w:hAnsi="Arial" w:cs="Times New Roman"/>
      </w:rPr>
    </w:lvl>
    <w:lvl w:ilvl="8" w:tplc="DCEE5316">
      <w:start w:val="1"/>
      <w:numFmt w:val="bullet"/>
      <w:lvlText w:val="•"/>
      <w:lvlJc w:val="left"/>
      <w:pPr>
        <w:tabs>
          <w:tab w:val="num" w:pos="6480"/>
        </w:tabs>
        <w:ind w:left="6480" w:hanging="360"/>
      </w:pPr>
      <w:rPr>
        <w:rFonts w:hint="default" w:ascii="Arial" w:hAnsi="Arial" w:cs="Times New Roman"/>
      </w:rPr>
    </w:lvl>
  </w:abstractNum>
  <w:abstractNum w:abstractNumId="6">
    <w:nsid w:val="2377446C"/>
    <w:multiLevelType w:val="hybridMultilevel"/>
    <w:tmpl w:val="1D28DDB4"/>
    <w:lvl w:ilvl="0" w:tplc="D8E08AF4">
      <w:start w:val="1"/>
      <w:numFmt w:val="bullet"/>
      <w:pStyle w:val="Index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nsid w:val="28854318"/>
    <w:multiLevelType w:val="hybridMultilevel"/>
    <w:tmpl w:val="613233AA"/>
    <w:lvl w:ilvl="0" w:tplc="63647648">
      <w:start w:val="1"/>
      <w:numFmt w:val="bullet"/>
      <w:lvlText w:val="•"/>
      <w:lvlJc w:val="left"/>
      <w:pPr>
        <w:tabs>
          <w:tab w:val="num" w:pos="720"/>
        </w:tabs>
        <w:ind w:left="720" w:hanging="360"/>
      </w:pPr>
      <w:rPr>
        <w:rFonts w:hint="default" w:ascii="Arial" w:hAnsi="Arial" w:cs="Times New Roman"/>
      </w:rPr>
    </w:lvl>
    <w:lvl w:ilvl="1" w:tplc="4E50CA74">
      <w:start w:val="1"/>
      <w:numFmt w:val="bullet"/>
      <w:lvlText w:val="•"/>
      <w:lvlJc w:val="left"/>
      <w:pPr>
        <w:tabs>
          <w:tab w:val="num" w:pos="1440"/>
        </w:tabs>
        <w:ind w:left="1440" w:hanging="360"/>
      </w:pPr>
      <w:rPr>
        <w:rFonts w:hint="default" w:ascii="Arial" w:hAnsi="Arial" w:cs="Times New Roman"/>
      </w:rPr>
    </w:lvl>
    <w:lvl w:ilvl="2" w:tplc="7C24DACA">
      <w:start w:val="1"/>
      <w:numFmt w:val="bullet"/>
      <w:lvlText w:val="•"/>
      <w:lvlJc w:val="left"/>
      <w:pPr>
        <w:tabs>
          <w:tab w:val="num" w:pos="2160"/>
        </w:tabs>
        <w:ind w:left="2160" w:hanging="360"/>
      </w:pPr>
      <w:rPr>
        <w:rFonts w:hint="default" w:ascii="Arial" w:hAnsi="Arial" w:cs="Times New Roman"/>
      </w:rPr>
    </w:lvl>
    <w:lvl w:ilvl="3" w:tplc="26840C80">
      <w:start w:val="1"/>
      <w:numFmt w:val="bullet"/>
      <w:lvlText w:val="•"/>
      <w:lvlJc w:val="left"/>
      <w:pPr>
        <w:tabs>
          <w:tab w:val="num" w:pos="2880"/>
        </w:tabs>
        <w:ind w:left="2880" w:hanging="360"/>
      </w:pPr>
      <w:rPr>
        <w:rFonts w:hint="default" w:ascii="Arial" w:hAnsi="Arial" w:cs="Times New Roman"/>
      </w:rPr>
    </w:lvl>
    <w:lvl w:ilvl="4" w:tplc="10B09236">
      <w:start w:val="1"/>
      <w:numFmt w:val="bullet"/>
      <w:lvlText w:val="•"/>
      <w:lvlJc w:val="left"/>
      <w:pPr>
        <w:tabs>
          <w:tab w:val="num" w:pos="3600"/>
        </w:tabs>
        <w:ind w:left="3600" w:hanging="360"/>
      </w:pPr>
      <w:rPr>
        <w:rFonts w:hint="default" w:ascii="Arial" w:hAnsi="Arial" w:cs="Times New Roman"/>
      </w:rPr>
    </w:lvl>
    <w:lvl w:ilvl="5" w:tplc="CFDCCB16">
      <w:start w:val="1"/>
      <w:numFmt w:val="bullet"/>
      <w:lvlText w:val="•"/>
      <w:lvlJc w:val="left"/>
      <w:pPr>
        <w:tabs>
          <w:tab w:val="num" w:pos="4320"/>
        </w:tabs>
        <w:ind w:left="4320" w:hanging="360"/>
      </w:pPr>
      <w:rPr>
        <w:rFonts w:hint="default" w:ascii="Arial" w:hAnsi="Arial" w:cs="Times New Roman"/>
      </w:rPr>
    </w:lvl>
    <w:lvl w:ilvl="6" w:tplc="C706D966">
      <w:start w:val="1"/>
      <w:numFmt w:val="bullet"/>
      <w:lvlText w:val="•"/>
      <w:lvlJc w:val="left"/>
      <w:pPr>
        <w:tabs>
          <w:tab w:val="num" w:pos="5040"/>
        </w:tabs>
        <w:ind w:left="5040" w:hanging="360"/>
      </w:pPr>
      <w:rPr>
        <w:rFonts w:hint="default" w:ascii="Arial" w:hAnsi="Arial" w:cs="Times New Roman"/>
      </w:rPr>
    </w:lvl>
    <w:lvl w:ilvl="7" w:tplc="9BBABC10">
      <w:start w:val="1"/>
      <w:numFmt w:val="bullet"/>
      <w:lvlText w:val="•"/>
      <w:lvlJc w:val="left"/>
      <w:pPr>
        <w:tabs>
          <w:tab w:val="num" w:pos="5760"/>
        </w:tabs>
        <w:ind w:left="5760" w:hanging="360"/>
      </w:pPr>
      <w:rPr>
        <w:rFonts w:hint="default" w:ascii="Arial" w:hAnsi="Arial" w:cs="Times New Roman"/>
      </w:rPr>
    </w:lvl>
    <w:lvl w:ilvl="8" w:tplc="4258B410">
      <w:start w:val="1"/>
      <w:numFmt w:val="bullet"/>
      <w:lvlText w:val="•"/>
      <w:lvlJc w:val="left"/>
      <w:pPr>
        <w:tabs>
          <w:tab w:val="num" w:pos="6480"/>
        </w:tabs>
        <w:ind w:left="6480" w:hanging="360"/>
      </w:pPr>
      <w:rPr>
        <w:rFonts w:hint="default" w:ascii="Arial" w:hAnsi="Arial" w:cs="Times New Roman"/>
      </w:rPr>
    </w:lvl>
  </w:abstractNum>
  <w:abstractNum w:abstractNumId="8">
    <w:nsid w:val="294A3A9A"/>
    <w:multiLevelType w:val="hybridMultilevel"/>
    <w:tmpl w:val="D95C3AE0"/>
    <w:lvl w:ilvl="0" w:tplc="2C2E32B2">
      <w:start w:val="1"/>
      <w:numFmt w:val="bullet"/>
      <w:pStyle w:val="CaselawBullet"/>
      <w:lvlText w:val=""/>
      <w:lvlJc w:val="left"/>
      <w:pPr>
        <w:ind w:left="1440" w:hanging="360"/>
      </w:pPr>
      <w:rPr>
        <w:rFonts w:hint="default" w:ascii="Symbol" w:hAnsi="Symbol"/>
      </w:rPr>
    </w:lvl>
    <w:lvl w:ilvl="1" w:tplc="0C090003" w:tentative="true">
      <w:start w:val="1"/>
      <w:numFmt w:val="bullet"/>
      <w:lvlText w:val="o"/>
      <w:lvlJc w:val="left"/>
      <w:pPr>
        <w:ind w:left="2160" w:hanging="360"/>
      </w:pPr>
      <w:rPr>
        <w:rFonts w:hint="default" w:ascii="Courier New" w:hAnsi="Courier New" w:cs="Courier New"/>
      </w:rPr>
    </w:lvl>
    <w:lvl w:ilvl="2" w:tplc="0C090005" w:tentative="true">
      <w:start w:val="1"/>
      <w:numFmt w:val="bullet"/>
      <w:lvlText w:val=""/>
      <w:lvlJc w:val="left"/>
      <w:pPr>
        <w:ind w:left="2880" w:hanging="360"/>
      </w:pPr>
      <w:rPr>
        <w:rFonts w:hint="default" w:ascii="Wingdings" w:hAnsi="Wingdings"/>
      </w:rPr>
    </w:lvl>
    <w:lvl w:ilvl="3" w:tplc="0C090001" w:tentative="true">
      <w:start w:val="1"/>
      <w:numFmt w:val="bullet"/>
      <w:lvlText w:val=""/>
      <w:lvlJc w:val="left"/>
      <w:pPr>
        <w:ind w:left="3600" w:hanging="360"/>
      </w:pPr>
      <w:rPr>
        <w:rFonts w:hint="default" w:ascii="Symbol" w:hAnsi="Symbol"/>
      </w:rPr>
    </w:lvl>
    <w:lvl w:ilvl="4" w:tplc="0C090003" w:tentative="true">
      <w:start w:val="1"/>
      <w:numFmt w:val="bullet"/>
      <w:lvlText w:val="o"/>
      <w:lvlJc w:val="left"/>
      <w:pPr>
        <w:ind w:left="4320" w:hanging="360"/>
      </w:pPr>
      <w:rPr>
        <w:rFonts w:hint="default" w:ascii="Courier New" w:hAnsi="Courier New" w:cs="Courier New"/>
      </w:rPr>
    </w:lvl>
    <w:lvl w:ilvl="5" w:tplc="0C090005" w:tentative="true">
      <w:start w:val="1"/>
      <w:numFmt w:val="bullet"/>
      <w:lvlText w:val=""/>
      <w:lvlJc w:val="left"/>
      <w:pPr>
        <w:ind w:left="5040" w:hanging="360"/>
      </w:pPr>
      <w:rPr>
        <w:rFonts w:hint="default" w:ascii="Wingdings" w:hAnsi="Wingdings"/>
      </w:rPr>
    </w:lvl>
    <w:lvl w:ilvl="6" w:tplc="0C090001" w:tentative="true">
      <w:start w:val="1"/>
      <w:numFmt w:val="bullet"/>
      <w:lvlText w:val=""/>
      <w:lvlJc w:val="left"/>
      <w:pPr>
        <w:ind w:left="5760" w:hanging="360"/>
      </w:pPr>
      <w:rPr>
        <w:rFonts w:hint="default" w:ascii="Symbol" w:hAnsi="Symbol"/>
      </w:rPr>
    </w:lvl>
    <w:lvl w:ilvl="7" w:tplc="0C090003" w:tentative="true">
      <w:start w:val="1"/>
      <w:numFmt w:val="bullet"/>
      <w:lvlText w:val="o"/>
      <w:lvlJc w:val="left"/>
      <w:pPr>
        <w:ind w:left="6480" w:hanging="360"/>
      </w:pPr>
      <w:rPr>
        <w:rFonts w:hint="default" w:ascii="Courier New" w:hAnsi="Courier New" w:cs="Courier New"/>
      </w:rPr>
    </w:lvl>
    <w:lvl w:ilvl="8" w:tplc="0C090005" w:tentative="true">
      <w:start w:val="1"/>
      <w:numFmt w:val="bullet"/>
      <w:lvlText w:val=""/>
      <w:lvlJc w:val="left"/>
      <w:pPr>
        <w:ind w:left="7200" w:hanging="360"/>
      </w:pPr>
      <w:rPr>
        <w:rFonts w:hint="default" w:ascii="Wingdings" w:hAnsi="Wingdings"/>
      </w:rPr>
    </w:lvl>
  </w:abstractNum>
  <w:abstractNum w:abstractNumId="9">
    <w:nsid w:val="31D62726"/>
    <w:multiLevelType w:val="hybridMultilevel"/>
    <w:tmpl w:val="7CEA8C86"/>
    <w:lvl w:ilvl="0" w:tplc="08090001">
      <w:start w:val="1"/>
      <w:numFmt w:val="bullet"/>
      <w:pStyle w:val="TableBullet"/>
      <w:lvlText w:val=""/>
      <w:lvlJc w:val="left"/>
      <w:pPr>
        <w:tabs>
          <w:tab w:val="num" w:pos="1287"/>
        </w:tabs>
        <w:ind w:left="1287" w:hanging="360"/>
      </w:pPr>
      <w:rPr>
        <w:rFonts w:hint="default" w:ascii="Symbol" w:hAnsi="Symbol"/>
      </w:rPr>
    </w:lvl>
    <w:lvl w:ilvl="1" w:tplc="08090003">
      <w:start w:val="1"/>
      <w:numFmt w:val="bullet"/>
      <w:lvlText w:val="o"/>
      <w:lvlJc w:val="left"/>
      <w:pPr>
        <w:tabs>
          <w:tab w:val="num" w:pos="2007"/>
        </w:tabs>
        <w:ind w:left="2007" w:hanging="360"/>
      </w:pPr>
      <w:rPr>
        <w:rFonts w:hint="default" w:ascii="Courier New" w:hAnsi="Courier New" w:cs="Courier New"/>
      </w:rPr>
    </w:lvl>
    <w:lvl w:ilvl="2" w:tplc="08090005">
      <w:start w:val="1"/>
      <w:numFmt w:val="bullet"/>
      <w:lvlText w:val=""/>
      <w:lvlJc w:val="left"/>
      <w:pPr>
        <w:tabs>
          <w:tab w:val="num" w:pos="2727"/>
        </w:tabs>
        <w:ind w:left="2727" w:hanging="360"/>
      </w:pPr>
      <w:rPr>
        <w:rFonts w:hint="default" w:ascii="Wingdings" w:hAnsi="Wingdings"/>
      </w:rPr>
    </w:lvl>
    <w:lvl w:ilvl="3" w:tplc="08090001">
      <w:start w:val="1"/>
      <w:numFmt w:val="bullet"/>
      <w:lvlText w:val=""/>
      <w:lvlJc w:val="left"/>
      <w:pPr>
        <w:tabs>
          <w:tab w:val="num" w:pos="3447"/>
        </w:tabs>
        <w:ind w:left="3447" w:hanging="360"/>
      </w:pPr>
      <w:rPr>
        <w:rFonts w:hint="default" w:ascii="Symbol" w:hAnsi="Symbol"/>
      </w:rPr>
    </w:lvl>
    <w:lvl w:ilvl="4" w:tplc="08090003">
      <w:start w:val="1"/>
      <w:numFmt w:val="bullet"/>
      <w:lvlText w:val="o"/>
      <w:lvlJc w:val="left"/>
      <w:pPr>
        <w:tabs>
          <w:tab w:val="num" w:pos="4167"/>
        </w:tabs>
        <w:ind w:left="4167" w:hanging="360"/>
      </w:pPr>
      <w:rPr>
        <w:rFonts w:hint="default" w:ascii="Courier New" w:hAnsi="Courier New" w:cs="Courier New"/>
      </w:rPr>
    </w:lvl>
    <w:lvl w:ilvl="5" w:tplc="08090005">
      <w:start w:val="1"/>
      <w:numFmt w:val="bullet"/>
      <w:lvlText w:val=""/>
      <w:lvlJc w:val="left"/>
      <w:pPr>
        <w:tabs>
          <w:tab w:val="num" w:pos="4887"/>
        </w:tabs>
        <w:ind w:left="4887" w:hanging="360"/>
      </w:pPr>
      <w:rPr>
        <w:rFonts w:hint="default" w:ascii="Wingdings" w:hAnsi="Wingdings"/>
      </w:rPr>
    </w:lvl>
    <w:lvl w:ilvl="6" w:tplc="08090001">
      <w:start w:val="1"/>
      <w:numFmt w:val="bullet"/>
      <w:lvlText w:val=""/>
      <w:lvlJc w:val="left"/>
      <w:pPr>
        <w:tabs>
          <w:tab w:val="num" w:pos="5607"/>
        </w:tabs>
        <w:ind w:left="5607" w:hanging="360"/>
      </w:pPr>
      <w:rPr>
        <w:rFonts w:hint="default" w:ascii="Symbol" w:hAnsi="Symbol"/>
      </w:rPr>
    </w:lvl>
    <w:lvl w:ilvl="7" w:tplc="08090003">
      <w:start w:val="1"/>
      <w:numFmt w:val="bullet"/>
      <w:lvlText w:val="o"/>
      <w:lvlJc w:val="left"/>
      <w:pPr>
        <w:tabs>
          <w:tab w:val="num" w:pos="6327"/>
        </w:tabs>
        <w:ind w:left="6327" w:hanging="360"/>
      </w:pPr>
      <w:rPr>
        <w:rFonts w:hint="default" w:ascii="Courier New" w:hAnsi="Courier New" w:cs="Courier New"/>
      </w:rPr>
    </w:lvl>
    <w:lvl w:ilvl="8" w:tplc="08090005">
      <w:start w:val="1"/>
      <w:numFmt w:val="bullet"/>
      <w:lvlText w:val=""/>
      <w:lvlJc w:val="left"/>
      <w:pPr>
        <w:tabs>
          <w:tab w:val="num" w:pos="7047"/>
        </w:tabs>
        <w:ind w:left="7047" w:hanging="360"/>
      </w:pPr>
      <w:rPr>
        <w:rFonts w:hint="default" w:ascii="Wingdings" w:hAnsi="Wingdings"/>
      </w:rPr>
    </w:lvl>
  </w:abstractNum>
  <w:abstractNum w:abstractNumId="1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abstractNum w:abstractNumId="11">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true">
      <w:start w:val="1"/>
      <w:numFmt w:val="lowerLetter"/>
      <w:lvlText w:val="%2."/>
      <w:lvlJc w:val="left"/>
      <w:pPr>
        <w:ind w:left="2880" w:hanging="360"/>
      </w:pPr>
    </w:lvl>
    <w:lvl w:ilvl="2" w:tplc="0C09001B" w:tentative="true">
      <w:start w:val="1"/>
      <w:numFmt w:val="lowerRoman"/>
      <w:lvlText w:val="%3."/>
      <w:lvlJc w:val="right"/>
      <w:pPr>
        <w:ind w:left="3600" w:hanging="180"/>
      </w:pPr>
    </w:lvl>
    <w:lvl w:ilvl="3" w:tplc="0C09000F" w:tentative="true">
      <w:start w:val="1"/>
      <w:numFmt w:val="decimal"/>
      <w:lvlText w:val="%4."/>
      <w:lvlJc w:val="left"/>
      <w:pPr>
        <w:ind w:left="4320" w:hanging="360"/>
      </w:pPr>
    </w:lvl>
    <w:lvl w:ilvl="4" w:tplc="0C090019" w:tentative="true">
      <w:start w:val="1"/>
      <w:numFmt w:val="lowerLetter"/>
      <w:lvlText w:val="%5."/>
      <w:lvlJc w:val="left"/>
      <w:pPr>
        <w:ind w:left="5040" w:hanging="360"/>
      </w:pPr>
    </w:lvl>
    <w:lvl w:ilvl="5" w:tplc="0C09001B" w:tentative="true">
      <w:start w:val="1"/>
      <w:numFmt w:val="lowerRoman"/>
      <w:lvlText w:val="%6."/>
      <w:lvlJc w:val="right"/>
      <w:pPr>
        <w:ind w:left="5760" w:hanging="180"/>
      </w:pPr>
    </w:lvl>
    <w:lvl w:ilvl="6" w:tplc="0C09000F" w:tentative="true">
      <w:start w:val="1"/>
      <w:numFmt w:val="decimal"/>
      <w:lvlText w:val="%7."/>
      <w:lvlJc w:val="left"/>
      <w:pPr>
        <w:ind w:left="6480" w:hanging="360"/>
      </w:pPr>
    </w:lvl>
    <w:lvl w:ilvl="7" w:tplc="0C090019" w:tentative="true">
      <w:start w:val="1"/>
      <w:numFmt w:val="lowerLetter"/>
      <w:lvlText w:val="%8."/>
      <w:lvlJc w:val="left"/>
      <w:pPr>
        <w:ind w:left="7200" w:hanging="360"/>
      </w:pPr>
    </w:lvl>
    <w:lvl w:ilvl="8" w:tplc="0C09001B" w:tentative="true">
      <w:start w:val="1"/>
      <w:numFmt w:val="lowerRoman"/>
      <w:lvlText w:val="%9."/>
      <w:lvlJc w:val="right"/>
      <w:pPr>
        <w:ind w:left="7920" w:hanging="180"/>
      </w:pPr>
    </w:lvl>
  </w:abstractNum>
  <w:abstractNum w:abstractNumId="13">
    <w:nsid w:val="46736775"/>
    <w:multiLevelType w:val="hybridMultilevel"/>
    <w:tmpl w:val="81BEED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4">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6">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true">
      <w:start w:val="1"/>
      <w:numFmt w:val="lowerLetter"/>
      <w:lvlText w:val="%2."/>
      <w:lvlJc w:val="left"/>
      <w:pPr>
        <w:ind w:left="2160" w:hanging="360"/>
      </w:pPr>
    </w:lvl>
    <w:lvl w:ilvl="2" w:tplc="0C09001B" w:tentative="true">
      <w:start w:val="1"/>
      <w:numFmt w:val="lowerRoman"/>
      <w:lvlText w:val="%3."/>
      <w:lvlJc w:val="right"/>
      <w:pPr>
        <w:ind w:left="2880" w:hanging="180"/>
      </w:pPr>
    </w:lvl>
    <w:lvl w:ilvl="3" w:tplc="0C09000F" w:tentative="true">
      <w:start w:val="1"/>
      <w:numFmt w:val="decimal"/>
      <w:lvlText w:val="%4."/>
      <w:lvlJc w:val="left"/>
      <w:pPr>
        <w:ind w:left="3600" w:hanging="360"/>
      </w:pPr>
    </w:lvl>
    <w:lvl w:ilvl="4" w:tplc="0C090019" w:tentative="true">
      <w:start w:val="1"/>
      <w:numFmt w:val="lowerLetter"/>
      <w:lvlText w:val="%5."/>
      <w:lvlJc w:val="left"/>
      <w:pPr>
        <w:ind w:left="4320" w:hanging="360"/>
      </w:pPr>
    </w:lvl>
    <w:lvl w:ilvl="5" w:tplc="0C09001B" w:tentative="true">
      <w:start w:val="1"/>
      <w:numFmt w:val="lowerRoman"/>
      <w:lvlText w:val="%6."/>
      <w:lvlJc w:val="right"/>
      <w:pPr>
        <w:ind w:left="5040" w:hanging="180"/>
      </w:pPr>
    </w:lvl>
    <w:lvl w:ilvl="6" w:tplc="0C09000F" w:tentative="true">
      <w:start w:val="1"/>
      <w:numFmt w:val="decimal"/>
      <w:lvlText w:val="%7."/>
      <w:lvlJc w:val="left"/>
      <w:pPr>
        <w:ind w:left="5760" w:hanging="360"/>
      </w:pPr>
    </w:lvl>
    <w:lvl w:ilvl="7" w:tplc="0C090019" w:tentative="true">
      <w:start w:val="1"/>
      <w:numFmt w:val="lowerLetter"/>
      <w:lvlText w:val="%8."/>
      <w:lvlJc w:val="left"/>
      <w:pPr>
        <w:ind w:left="6480" w:hanging="360"/>
      </w:pPr>
    </w:lvl>
    <w:lvl w:ilvl="8" w:tplc="0C09001B" w:tentative="true">
      <w:start w:val="1"/>
      <w:numFmt w:val="lowerRoman"/>
      <w:lvlText w:val="%9."/>
      <w:lvlJc w:val="right"/>
      <w:pPr>
        <w:ind w:left="7200" w:hanging="180"/>
      </w:pPr>
    </w:lvl>
  </w:abstractNum>
  <w:abstractNum w:abstractNumId="17">
    <w:nsid w:val="52CC25B4"/>
    <w:multiLevelType w:val="hybridMultilevel"/>
    <w:tmpl w:val="3DEE3746"/>
    <w:lvl w:ilvl="0" w:tplc="779C3EE2">
      <w:start w:val="1"/>
      <w:numFmt w:val="bullet"/>
      <w:pStyle w:val="ListBulletIndent"/>
      <w:lvlText w:val="o"/>
      <w:lvlJc w:val="left"/>
      <w:pPr>
        <w:tabs>
          <w:tab w:val="num" w:pos="1159"/>
        </w:tabs>
        <w:ind w:left="1159" w:hanging="360"/>
      </w:pPr>
      <w:rPr>
        <w:rFonts w:hint="default" w:ascii="Courier New" w:hAnsi="Courier New" w:cs="Times New Roman"/>
      </w:rPr>
    </w:lvl>
    <w:lvl w:ilvl="1" w:tplc="04090003">
      <w:start w:val="1"/>
      <w:numFmt w:val="bullet"/>
      <w:lvlText w:val="o"/>
      <w:lvlJc w:val="left"/>
      <w:pPr>
        <w:tabs>
          <w:tab w:val="num" w:pos="2160"/>
        </w:tabs>
        <w:ind w:left="2160" w:hanging="360"/>
      </w:pPr>
      <w:rPr>
        <w:rFonts w:hint="default" w:ascii="Courier New" w:hAnsi="Courier New" w:cs="Times New Roman"/>
      </w:rPr>
    </w:lvl>
    <w:lvl w:ilvl="2" w:tplc="04090005">
      <w:start w:val="1"/>
      <w:numFmt w:val="bullet"/>
      <w:lvlText w:val=""/>
      <w:lvlJc w:val="left"/>
      <w:pPr>
        <w:tabs>
          <w:tab w:val="num" w:pos="2880"/>
        </w:tabs>
        <w:ind w:left="2880" w:hanging="360"/>
      </w:pPr>
      <w:rPr>
        <w:rFonts w:hint="default" w:ascii="Wingdings" w:hAnsi="Wingdings"/>
      </w:rPr>
    </w:lvl>
    <w:lvl w:ilvl="3" w:tplc="04090001">
      <w:start w:val="1"/>
      <w:numFmt w:val="bullet"/>
      <w:lvlText w:val=""/>
      <w:lvlJc w:val="left"/>
      <w:pPr>
        <w:tabs>
          <w:tab w:val="num" w:pos="3600"/>
        </w:tabs>
        <w:ind w:left="3600" w:hanging="360"/>
      </w:pPr>
      <w:rPr>
        <w:rFonts w:hint="default" w:ascii="Symbol" w:hAnsi="Symbol"/>
      </w:rPr>
    </w:lvl>
    <w:lvl w:ilvl="4" w:tplc="04090003">
      <w:start w:val="1"/>
      <w:numFmt w:val="bullet"/>
      <w:lvlText w:val="o"/>
      <w:lvlJc w:val="left"/>
      <w:pPr>
        <w:tabs>
          <w:tab w:val="num" w:pos="4320"/>
        </w:tabs>
        <w:ind w:left="4320" w:hanging="360"/>
      </w:pPr>
      <w:rPr>
        <w:rFonts w:hint="default" w:ascii="Courier New" w:hAnsi="Courier New" w:cs="Times New Roman"/>
      </w:rPr>
    </w:lvl>
    <w:lvl w:ilvl="5" w:tplc="04090005">
      <w:start w:val="1"/>
      <w:numFmt w:val="bullet"/>
      <w:lvlText w:val=""/>
      <w:lvlJc w:val="left"/>
      <w:pPr>
        <w:tabs>
          <w:tab w:val="num" w:pos="5040"/>
        </w:tabs>
        <w:ind w:left="5040" w:hanging="360"/>
      </w:pPr>
      <w:rPr>
        <w:rFonts w:hint="default" w:ascii="Wingdings" w:hAnsi="Wingdings"/>
      </w:rPr>
    </w:lvl>
    <w:lvl w:ilvl="6" w:tplc="04090001">
      <w:start w:val="1"/>
      <w:numFmt w:val="bullet"/>
      <w:lvlText w:val=""/>
      <w:lvlJc w:val="left"/>
      <w:pPr>
        <w:tabs>
          <w:tab w:val="num" w:pos="5760"/>
        </w:tabs>
        <w:ind w:left="5760" w:hanging="360"/>
      </w:pPr>
      <w:rPr>
        <w:rFonts w:hint="default" w:ascii="Symbol" w:hAnsi="Symbol"/>
      </w:rPr>
    </w:lvl>
    <w:lvl w:ilvl="7" w:tplc="04090003">
      <w:start w:val="1"/>
      <w:numFmt w:val="bullet"/>
      <w:lvlText w:val="o"/>
      <w:lvlJc w:val="left"/>
      <w:pPr>
        <w:tabs>
          <w:tab w:val="num" w:pos="6480"/>
        </w:tabs>
        <w:ind w:left="6480" w:hanging="360"/>
      </w:pPr>
      <w:rPr>
        <w:rFonts w:hint="default" w:ascii="Courier New" w:hAnsi="Courier New" w:cs="Times New Roman"/>
      </w:rPr>
    </w:lvl>
    <w:lvl w:ilvl="8" w:tplc="04090005">
      <w:start w:val="1"/>
      <w:numFmt w:val="bullet"/>
      <w:lvlText w:val=""/>
      <w:lvlJc w:val="left"/>
      <w:pPr>
        <w:tabs>
          <w:tab w:val="num" w:pos="7200"/>
        </w:tabs>
        <w:ind w:left="7200" w:hanging="360"/>
      </w:pPr>
      <w:rPr>
        <w:rFonts w:hint="default" w:ascii="Wingdings" w:hAnsi="Wingdings"/>
      </w:rPr>
    </w:lvl>
  </w:abstractNum>
  <w:abstractNum w:abstractNumId="18">
    <w:nsid w:val="63917B65"/>
    <w:multiLevelType w:val="hybridMultilevel"/>
    <w:tmpl w:val="28DA8504"/>
    <w:lvl w:ilvl="0" w:tplc="7EBEE17E">
      <w:start w:val="1"/>
      <w:numFmt w:val="bullet"/>
      <w:lvlText w:val="•"/>
      <w:lvlJc w:val="left"/>
      <w:pPr>
        <w:tabs>
          <w:tab w:val="num" w:pos="720"/>
        </w:tabs>
        <w:ind w:left="720" w:hanging="360"/>
      </w:pPr>
      <w:rPr>
        <w:rFonts w:hint="default" w:ascii="Arial" w:hAnsi="Arial" w:cs="Times New Roman"/>
      </w:rPr>
    </w:lvl>
    <w:lvl w:ilvl="1" w:tplc="1DCC5FE4">
      <w:start w:val="1"/>
      <w:numFmt w:val="bullet"/>
      <w:lvlText w:val="•"/>
      <w:lvlJc w:val="left"/>
      <w:pPr>
        <w:tabs>
          <w:tab w:val="num" w:pos="1440"/>
        </w:tabs>
        <w:ind w:left="1440" w:hanging="360"/>
      </w:pPr>
      <w:rPr>
        <w:rFonts w:hint="default" w:ascii="Arial" w:hAnsi="Arial" w:cs="Times New Roman"/>
      </w:rPr>
    </w:lvl>
    <w:lvl w:ilvl="2" w:tplc="2E2254E0">
      <w:start w:val="1"/>
      <w:numFmt w:val="bullet"/>
      <w:lvlText w:val="•"/>
      <w:lvlJc w:val="left"/>
      <w:pPr>
        <w:tabs>
          <w:tab w:val="num" w:pos="2160"/>
        </w:tabs>
        <w:ind w:left="2160" w:hanging="360"/>
      </w:pPr>
      <w:rPr>
        <w:rFonts w:hint="default" w:ascii="Arial" w:hAnsi="Arial" w:cs="Times New Roman"/>
      </w:rPr>
    </w:lvl>
    <w:lvl w:ilvl="3" w:tplc="A5A07C72">
      <w:start w:val="1"/>
      <w:numFmt w:val="bullet"/>
      <w:lvlText w:val="•"/>
      <w:lvlJc w:val="left"/>
      <w:pPr>
        <w:tabs>
          <w:tab w:val="num" w:pos="2880"/>
        </w:tabs>
        <w:ind w:left="2880" w:hanging="360"/>
      </w:pPr>
      <w:rPr>
        <w:rFonts w:hint="default" w:ascii="Arial" w:hAnsi="Arial" w:cs="Times New Roman"/>
      </w:rPr>
    </w:lvl>
    <w:lvl w:ilvl="4" w:tplc="9E8A9A4E">
      <w:start w:val="1"/>
      <w:numFmt w:val="bullet"/>
      <w:lvlText w:val="•"/>
      <w:lvlJc w:val="left"/>
      <w:pPr>
        <w:tabs>
          <w:tab w:val="num" w:pos="3600"/>
        </w:tabs>
        <w:ind w:left="3600" w:hanging="360"/>
      </w:pPr>
      <w:rPr>
        <w:rFonts w:hint="default" w:ascii="Arial" w:hAnsi="Arial" w:cs="Times New Roman"/>
      </w:rPr>
    </w:lvl>
    <w:lvl w:ilvl="5" w:tplc="31ACE6B0">
      <w:start w:val="1"/>
      <w:numFmt w:val="bullet"/>
      <w:lvlText w:val="•"/>
      <w:lvlJc w:val="left"/>
      <w:pPr>
        <w:tabs>
          <w:tab w:val="num" w:pos="4320"/>
        </w:tabs>
        <w:ind w:left="4320" w:hanging="360"/>
      </w:pPr>
      <w:rPr>
        <w:rFonts w:hint="default" w:ascii="Arial" w:hAnsi="Arial" w:cs="Times New Roman"/>
      </w:rPr>
    </w:lvl>
    <w:lvl w:ilvl="6" w:tplc="AB685CD0">
      <w:start w:val="1"/>
      <w:numFmt w:val="bullet"/>
      <w:lvlText w:val="•"/>
      <w:lvlJc w:val="left"/>
      <w:pPr>
        <w:tabs>
          <w:tab w:val="num" w:pos="5040"/>
        </w:tabs>
        <w:ind w:left="5040" w:hanging="360"/>
      </w:pPr>
      <w:rPr>
        <w:rFonts w:hint="default" w:ascii="Arial" w:hAnsi="Arial" w:cs="Times New Roman"/>
      </w:rPr>
    </w:lvl>
    <w:lvl w:ilvl="7" w:tplc="FC002C06">
      <w:start w:val="1"/>
      <w:numFmt w:val="bullet"/>
      <w:lvlText w:val="•"/>
      <w:lvlJc w:val="left"/>
      <w:pPr>
        <w:tabs>
          <w:tab w:val="num" w:pos="5760"/>
        </w:tabs>
        <w:ind w:left="5760" w:hanging="360"/>
      </w:pPr>
      <w:rPr>
        <w:rFonts w:hint="default" w:ascii="Arial" w:hAnsi="Arial" w:cs="Times New Roman"/>
      </w:rPr>
    </w:lvl>
    <w:lvl w:ilvl="8" w:tplc="6338C1FE">
      <w:start w:val="1"/>
      <w:numFmt w:val="bullet"/>
      <w:lvlText w:val="•"/>
      <w:lvlJc w:val="left"/>
      <w:pPr>
        <w:tabs>
          <w:tab w:val="num" w:pos="6480"/>
        </w:tabs>
        <w:ind w:left="6480" w:hanging="360"/>
      </w:pPr>
      <w:rPr>
        <w:rFonts w:hint="default" w:ascii="Arial" w:hAnsi="Arial" w:cs="Times New Roman"/>
      </w:rPr>
    </w:lvl>
  </w:abstractNum>
  <w:abstractNum w:abstractNumId="19">
    <w:nsid w:val="643A5861"/>
    <w:multiLevelType w:val="hybridMultilevel"/>
    <w:tmpl w:val="5DFCE9E6"/>
    <w:lvl w:ilvl="0" w:tplc="8E086518">
      <w:start w:val="1"/>
      <w:numFmt w:val="bullet"/>
      <w:pStyle w:val="Bulletforblueiinfo"/>
      <w:lvlText w:val=""/>
      <w:lvlJc w:val="left"/>
      <w:pPr>
        <w:tabs>
          <w:tab w:val="num" w:pos="737"/>
        </w:tabs>
        <w:ind w:left="737" w:hanging="368"/>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nsid w:val="692A3A69"/>
    <w:multiLevelType w:val="hybridMultilevel"/>
    <w:tmpl w:val="05DAD142"/>
    <w:lvl w:ilvl="0" w:tplc="73421F34">
      <w:start w:val="1"/>
      <w:numFmt w:val="bullet"/>
      <w:lvlText w:val="•"/>
      <w:lvlJc w:val="left"/>
      <w:pPr>
        <w:tabs>
          <w:tab w:val="num" w:pos="720"/>
        </w:tabs>
        <w:ind w:left="720" w:hanging="360"/>
      </w:pPr>
      <w:rPr>
        <w:rFonts w:hint="default" w:ascii="Arial" w:hAnsi="Arial" w:cs="Times New Roman"/>
      </w:rPr>
    </w:lvl>
    <w:lvl w:ilvl="1" w:tplc="8320F500">
      <w:start w:val="1"/>
      <w:numFmt w:val="bullet"/>
      <w:lvlText w:val="•"/>
      <w:lvlJc w:val="left"/>
      <w:pPr>
        <w:tabs>
          <w:tab w:val="num" w:pos="1440"/>
        </w:tabs>
        <w:ind w:left="1440" w:hanging="360"/>
      </w:pPr>
      <w:rPr>
        <w:rFonts w:hint="default" w:ascii="Arial" w:hAnsi="Arial" w:cs="Times New Roman"/>
      </w:rPr>
    </w:lvl>
    <w:lvl w:ilvl="2" w:tplc="8544046E">
      <w:start w:val="1"/>
      <w:numFmt w:val="bullet"/>
      <w:lvlText w:val="•"/>
      <w:lvlJc w:val="left"/>
      <w:pPr>
        <w:tabs>
          <w:tab w:val="num" w:pos="2160"/>
        </w:tabs>
        <w:ind w:left="2160" w:hanging="360"/>
      </w:pPr>
      <w:rPr>
        <w:rFonts w:hint="default" w:ascii="Arial" w:hAnsi="Arial" w:cs="Times New Roman"/>
      </w:rPr>
    </w:lvl>
    <w:lvl w:ilvl="3" w:tplc="3D8EF51A">
      <w:start w:val="1"/>
      <w:numFmt w:val="bullet"/>
      <w:lvlText w:val="•"/>
      <w:lvlJc w:val="left"/>
      <w:pPr>
        <w:tabs>
          <w:tab w:val="num" w:pos="2880"/>
        </w:tabs>
        <w:ind w:left="2880" w:hanging="360"/>
      </w:pPr>
      <w:rPr>
        <w:rFonts w:hint="default" w:ascii="Arial" w:hAnsi="Arial" w:cs="Times New Roman"/>
      </w:rPr>
    </w:lvl>
    <w:lvl w:ilvl="4" w:tplc="AEC2BFAC">
      <w:start w:val="1"/>
      <w:numFmt w:val="bullet"/>
      <w:lvlText w:val="•"/>
      <w:lvlJc w:val="left"/>
      <w:pPr>
        <w:tabs>
          <w:tab w:val="num" w:pos="3600"/>
        </w:tabs>
        <w:ind w:left="3600" w:hanging="360"/>
      </w:pPr>
      <w:rPr>
        <w:rFonts w:hint="default" w:ascii="Arial" w:hAnsi="Arial" w:cs="Times New Roman"/>
      </w:rPr>
    </w:lvl>
    <w:lvl w:ilvl="5" w:tplc="DDE2E5A6">
      <w:start w:val="1"/>
      <w:numFmt w:val="bullet"/>
      <w:lvlText w:val="•"/>
      <w:lvlJc w:val="left"/>
      <w:pPr>
        <w:tabs>
          <w:tab w:val="num" w:pos="4320"/>
        </w:tabs>
        <w:ind w:left="4320" w:hanging="360"/>
      </w:pPr>
      <w:rPr>
        <w:rFonts w:hint="default" w:ascii="Arial" w:hAnsi="Arial" w:cs="Times New Roman"/>
      </w:rPr>
    </w:lvl>
    <w:lvl w:ilvl="6" w:tplc="CBFAAEDE">
      <w:start w:val="1"/>
      <w:numFmt w:val="bullet"/>
      <w:lvlText w:val="•"/>
      <w:lvlJc w:val="left"/>
      <w:pPr>
        <w:tabs>
          <w:tab w:val="num" w:pos="5040"/>
        </w:tabs>
        <w:ind w:left="5040" w:hanging="360"/>
      </w:pPr>
      <w:rPr>
        <w:rFonts w:hint="default" w:ascii="Arial" w:hAnsi="Arial" w:cs="Times New Roman"/>
      </w:rPr>
    </w:lvl>
    <w:lvl w:ilvl="7" w:tplc="F90E4540">
      <w:start w:val="1"/>
      <w:numFmt w:val="bullet"/>
      <w:lvlText w:val="•"/>
      <w:lvlJc w:val="left"/>
      <w:pPr>
        <w:tabs>
          <w:tab w:val="num" w:pos="5760"/>
        </w:tabs>
        <w:ind w:left="5760" w:hanging="360"/>
      </w:pPr>
      <w:rPr>
        <w:rFonts w:hint="default" w:ascii="Arial" w:hAnsi="Arial" w:cs="Times New Roman"/>
      </w:rPr>
    </w:lvl>
    <w:lvl w:ilvl="8" w:tplc="2AE6386C">
      <w:start w:val="1"/>
      <w:numFmt w:val="bullet"/>
      <w:lvlText w:val="•"/>
      <w:lvlJc w:val="left"/>
      <w:pPr>
        <w:tabs>
          <w:tab w:val="num" w:pos="6480"/>
        </w:tabs>
        <w:ind w:left="6480" w:hanging="360"/>
      </w:pPr>
      <w:rPr>
        <w:rFonts w:hint="default" w:ascii="Arial" w:hAnsi="Arial" w:cs="Times New Roman"/>
      </w:rPr>
    </w:lvl>
  </w:abstractNum>
  <w:num w:numId="1">
    <w:abstractNumId w:val="16"/>
  </w:num>
  <w:num w:numId="2">
    <w:abstractNumId w:val="10"/>
  </w:num>
  <w:num w:numId="3">
    <w:abstractNumId w:val="15"/>
  </w:num>
  <w:num w:numId="4">
    <w:abstractNumId w:val="12"/>
  </w:num>
  <w:num w:numId="5">
    <w:abstractNumId w:val="8"/>
  </w:num>
  <w:num w:numId="6">
    <w:abstractNumId w:val="6"/>
  </w:num>
  <w:num w:numId="7">
    <w:abstractNumId w:val="0"/>
  </w:num>
  <w:num w:numId="8">
    <w:abstractNumId w:val="1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5"/>
  </w:num>
  <w:num w:numId="19">
    <w:abstractNumId w:val="20"/>
  </w:num>
  <w:num w:numId="20">
    <w:abstractNumId w:val="7"/>
  </w:num>
  <w:num w:numId="21">
    <w:abstractNumId w:val="3"/>
  </w:num>
  <w:num w:numId="22">
    <w:abstractNumId w:val="16"/>
    <w:lvlOverride w:ilvl="0">
      <w:startOverride w:val="1"/>
    </w:lvlOverride>
  </w:num>
  <w:num w:numId="23">
    <w:abstractNumId w:val="16"/>
    <w:lvlOverride w:ilvl="0">
      <w:startOverride w:val="9"/>
    </w:lvlOverride>
  </w:num>
  <w:num w:numId="24">
    <w:abstractNumId w:val="16"/>
    <w:lvlOverride w:ilvl="0">
      <w:startOverride w:val="10"/>
    </w:lvlOverride>
  </w:num>
  <w:num w:numId="25">
    <w:abstractNumId w:val="16"/>
    <w:lvlOverride w:ilvl="0">
      <w:startOverride w:val="11"/>
    </w:lvlOverride>
  </w:num>
  <w:num w:numId="26">
    <w:abstractNumId w:val="16"/>
    <w:lvlOverride w:ilvl="0">
      <w:startOverride w:val="12"/>
    </w:lvlOverride>
  </w:num>
  <w:num w:numId="27">
    <w:abstractNumId w:val="16"/>
    <w:lvlOverride w:ilvl="0">
      <w:startOverride w:val="14"/>
    </w:lvlOverride>
  </w:num>
  <w:num w:numId="28">
    <w:abstractNumId w:val="10"/>
    <w:lvlOverride w:ilvl="0">
      <w:startOverride w:val="1"/>
    </w:lvlOverride>
  </w:num>
  <w:num w:numId="29">
    <w:abstractNumId w:val="16"/>
    <w:lvlOverride w:ilvl="0">
      <w:startOverride w:val="16"/>
    </w:lvlOverride>
  </w:num>
  <w:num w:numId="30">
    <w:abstractNumId w:val="16"/>
    <w:lvlOverride w:ilvl="0">
      <w:startOverride w:val="23"/>
    </w:lvlOverride>
  </w:num>
  <w:num w:numId="31">
    <w:abstractNumId w:val="10"/>
    <w:lvlOverride w:ilvl="0">
      <w:startOverride w:val="1"/>
    </w:lvlOverride>
  </w:num>
  <w:num w:numId="32">
    <w:abstractNumId w:val="16"/>
    <w:lvlOverride w:ilvl="0">
      <w:startOverride w:val="25"/>
    </w:lvlOverride>
  </w:num>
  <w:num w:numId="33">
    <w:abstractNumId w:val="16"/>
    <w:lvlOverride w:ilvl="0">
      <w:startOverride w:val="28"/>
    </w:lvlOverride>
  </w:num>
  <w:num w:numId="34">
    <w:abstractNumId w:val="16"/>
    <w:lvlOverride w:ilvl="0">
      <w:startOverride w:val="29"/>
    </w:lvlOverride>
  </w:num>
  <w:num w:numId="35">
    <w:abstractNumId w:val="16"/>
    <w:lvlOverride w:ilvl="0">
      <w:startOverride w:val="31"/>
    </w:lvlOverride>
  </w:num>
  <w:num w:numId="36">
    <w:abstractNumId w:val="16"/>
    <w:lvlOverride w:ilvl="0">
      <w:startOverride w:val="37"/>
    </w:lvlOverride>
  </w:num>
  <w:num w:numId="37">
    <w:abstractNumId w:val="16"/>
    <w:lvlOverride w:ilvl="0">
      <w:startOverride w:val="38"/>
    </w:lvlOverride>
  </w:num>
  <w:num w:numId="38">
    <w:abstractNumId w:val="16"/>
    <w:lvlOverride w:ilvl="0">
      <w:startOverride w:val="43"/>
    </w:lvlOverride>
  </w:num>
  <w:num w:numId="39">
    <w:abstractNumId w:val="16"/>
    <w:lvlOverride w:ilvl="0">
      <w:startOverride w:val="45"/>
    </w:lvlOverride>
  </w:num>
  <w:num w:numId="40">
    <w:abstractNumId w:val="10"/>
    <w:lvlOverride w:ilvl="0">
      <w:startOverride w:val="1"/>
    </w:lvlOverride>
  </w:num>
  <w:num w:numId="41">
    <w:abstractNumId w:val="16"/>
    <w:lvlOverride w:ilvl="0">
      <w:startOverride w:val="47"/>
    </w:lvlOverride>
  </w:num>
  <w:num w:numId="42">
    <w:abstractNumId w:val="16"/>
    <w:lvlOverride w:ilvl="0">
      <w:startOverride w:val="48"/>
    </w:lvlOverride>
  </w:num>
  <w:num w:numId="43">
    <w:abstractNumId w:val="16"/>
    <w:lvlOverride w:ilvl="0">
      <w:startOverride w:val="50"/>
    </w:lvlOverride>
  </w:num>
  <w:num w:numId="44">
    <w:abstractNumId w:val="16"/>
    <w:lvlOverride w:ilvl="0">
      <w:startOverride w:val="61"/>
    </w:lvlOverride>
  </w:num>
  <w:num w:numId="45">
    <w:abstractNumId w:val="16"/>
    <w:lvlOverride w:ilvl="0">
      <w:startOverride w:val="63"/>
    </w:lvlOverride>
  </w:num>
  <w:num w:numId="46">
    <w:abstractNumId w:val="16"/>
    <w:lvlOverride w:ilvl="0">
      <w:startOverride w:val="64"/>
    </w:lvlOverride>
  </w:num>
  <w:num w:numId="47">
    <w:abstractNumId w:val="16"/>
    <w:lvlOverride w:ilvl="0">
      <w:startOverride w:val="71"/>
    </w:lvlOverride>
  </w:num>
  <w:num w:numId="48">
    <w:abstractNumId w:val="16"/>
    <w:lvlOverride w:ilvl="0">
      <w:startOverride w:val="78"/>
    </w:lvlOverride>
  </w:num>
  <w:num w:numId="49">
    <w:abstractNumId w:val="10"/>
    <w:lvlOverride w:ilvl="0">
      <w:startOverride w:val="1"/>
    </w:lvlOverride>
  </w:num>
  <w:num w:numId="50">
    <w:abstractNumId w:val="16"/>
    <w:lvlOverride w:ilvl="0">
      <w:startOverride w:val="81"/>
    </w:lvlOverride>
  </w:num>
  <w:numIdMacAtCleanup w:val="21"/>
</w:numbering>
</file>

<file path=word/settings.xml><?xml version="1.0" encoding="utf-8"?>
<w:setting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10"/>
  <w:proofState w:spelling="clean" w:grammar="clean"/>
  <w:stylePaneFormatFilter w:val="1001"/>
  <w:stylePaneSortMethod w:val="0000"/>
  <w:documentProtection w:formatting="true" w:enforcement="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Arial" w:hAnsi="Arial" w:eastAsia="Calibri" w:cs="Times New Roman"/>
        <w:sz w:val="24"/>
        <w:szCs w:val="24"/>
        <w:lang w:val="en-AU" w:eastAsia="en-AU" w:bidi="ar-SA"/>
      </w:rPr>
    </w:rPrDefault>
    <w:pPrDefault/>
  </w:docDefaults>
  <w:latentStyles w:defLockedState="true" w:defUIPriority="99" w:defSemiHidden="true" w:defUnhideWhenUsed="true" w:defQFormat="false" w:count="267">
    <w:lsdException w:name="Normal" w:locked="false" w:uiPriority="0" w:semiHidden="false" w:unhideWhenUsed="false"/>
    <w:lsdException w:name="heading 1" w:locked="false" w:uiPriority="0" w:semiHidden="false" w:unhideWhenUsed="false" w:qFormat="true"/>
    <w:lsdException w:name="heading 2" w:locked="false" w:uiPriority="0" w:qFormat="true"/>
    <w:lsdException w:name="heading 3" w:locked="false" w:uiPriority="0" w:qFormat="true"/>
    <w:lsdException w:name="heading 4" w:uiPriority="0" w:qFormat="true"/>
    <w:lsdException w:name="heading 5" w:locked="false" w:uiPriority="0" w:qFormat="true"/>
    <w:lsdException w:name="heading 6" w:uiPriority="0" w:qFormat="true"/>
    <w:lsdException w:name="heading 7" w:qFormat="true"/>
    <w:lsdException w:name="heading 8" w:qFormat="true"/>
    <w:lsdException w:name="heading 9" w:qFormat="true"/>
    <w:lsdException w:name="toc 1" w:uiPriority="39" w:qFormat="true"/>
    <w:lsdException w:name="toc 2" w:uiPriority="39" w:qFormat="true"/>
    <w:lsdException w:name="toc 3" w:uiPriority="39" w:qFormat="true"/>
    <w:lsdException w:name="toc 4" w:uiPriority="39"/>
    <w:lsdException w:name="toc 5" w:uiPriority="39"/>
    <w:lsdException w:name="toc 6" w:uiPriority="39"/>
    <w:lsdException w:name="toc 7" w:uiPriority="39"/>
    <w:lsdException w:name="toc 8" w:uiPriority="39"/>
    <w:lsdException w:name="toc 9" w:uiPriority="39"/>
    <w:lsdException w:name="caption" w:qFormat="true"/>
    <w:lsdException w:name="annotation reference" w:uiPriority="0"/>
    <w:lsdException w:name="Title" w:uiPriority="10" w:unhideWhenUsed="false" w:qFormat="true"/>
    <w:lsdException w:name="Default Paragraph Font" w:locked="false" w:uiPriority="1"/>
    <w:lsdException w:name="Body Text" w:locked="false" w:uiPriority="0"/>
    <w:lsdException w:name="Body Text Indent" w:locked="false"/>
    <w:lsdException w:name="Subtitle" w:uiPriority="11" w:unhideWhenUsed="false" w:qFormat="true"/>
    <w:lsdException w:name="Body Text First Indent" w:locked="false"/>
    <w:lsdException w:name="Body Text First Indent 2" w:locked="false"/>
    <w:lsdException w:name="Body Text 2" w:locked="false"/>
    <w:lsdException w:name="Body Text 3" w:locked="false"/>
    <w:lsdException w:name="FollowedHyperlink" w:uiPriority="0"/>
    <w:lsdException w:name="Strong" w:locked="false" w:uiPriority="22" w:unhideWhenUsed="false" w:qFormat="true"/>
    <w:lsdException w:name="Emphasis" w:uiPriority="20" w:unhideWhenUsed="false" w:qFormat="true"/>
    <w:lsdException w:name="HTML Top of Form" w:locked="false"/>
    <w:lsdException w:name="HTML Bottom of Form" w:locked="false"/>
    <w:lsdException w:name="Normal Table" w:locked="false"/>
    <w:lsdException w:name="No List" w:locked="false"/>
    <w:lsdException w:name="Balloon Text" w:locked="false"/>
    <w:lsdException w:name="Table Grid" w:locked="false" w:uiPriority="59" w:semiHidden="false" w:unhideWhenUsed="false"/>
    <w:lsdException w:name="Placeholder Text" w:locked="false" w:unhideWhenUsed="false"/>
    <w:lsdException w:name="No Spacing" w:uiPriority="1"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locked="false" w:unhideWhenUsed="false"/>
    <w:lsdException w:name="List Paragraph" w:uiPriority="34" w:unhideWhenUsed="false" w:qFormat="true"/>
    <w:lsdException w:name="Quote" w:uiPriority="29" w:unhideWhenUsed="false" w:qFormat="true"/>
    <w:lsdException w:name="Intense Quote" w:uiPriority="30"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unhideWhenUsed="false" w:qFormat="true"/>
    <w:lsdException w:name="Intense Emphasis" w:uiPriority="21" w:unhideWhenUsed="false" w:qFormat="true"/>
    <w:lsdException w:name="Subtle Reference" w:uiPriority="31" w:unhideWhenUsed="false" w:qFormat="true"/>
    <w:lsdException w:name="Intense Reference" w:uiPriority="32" w:unhideWhenUsed="false" w:qFormat="true"/>
    <w:lsdException w:name="Book Title" w:uiPriority="33" w:unhideWhenUsed="false" w:qFormat="true"/>
    <w:lsdException w:name="Bibliography" w:uiPriority="37"/>
    <w:lsdException w:name="TOC Heading" w:uiPriority="39" w:qFormat="true"/>
  </w:latentStyles>
  <w:style w:type="paragraph" w:styleId="Normal" w:default="true">
    <w:name w:val="Normal"/>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hAnsiTheme="majorHAnsi" w:eastAsiaTheme="majorEastAsia"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false"/>
      <w:tabs>
        <w:tab w:val="num" w:pos="1008"/>
      </w:tabs>
      <w:spacing w:before="240" w:after="120" w:line="300" w:lineRule="auto"/>
      <w:ind w:left="1008" w:hanging="1008"/>
      <w:outlineLvl w:val="4"/>
    </w:pPr>
    <w:rPr>
      <w:rFonts w:ascii="Arial" w:hAnsi="Arial" w:eastAsia="Times New Roman" w:cs="Arial"/>
      <w:b w:val="false"/>
      <w:i w:val="false"/>
      <w:iCs w:val="false"/>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CaselawCoversheet" w:customStyle="true">
    <w:name w:val="Caselaw Coversheet"/>
    <w:basedOn w:val="Normal"/>
    <w:qFormat/>
    <w:rsid w:val="009C6388"/>
    <w:pPr>
      <w:spacing w:after="0" w:line="240" w:lineRule="auto"/>
    </w:pPr>
    <w:rPr>
      <w:rFonts w:cs="Arial"/>
    </w:rPr>
  </w:style>
  <w:style w:type="paragraph" w:styleId="CaselawNormal" w:customStyle="true">
    <w:name w:val="Caselaw Normal"/>
    <w:basedOn w:val="CaselawCoversheet"/>
    <w:uiPriority w:val="6"/>
    <w:qFormat/>
    <w:locked/>
    <w:rsid w:val="007360E8"/>
    <w:pPr>
      <w:spacing w:after="240" w:line="360" w:lineRule="auto"/>
      <w:ind w:left="720"/>
    </w:pPr>
  </w:style>
  <w:style w:type="paragraph" w:styleId="CaselawNumbered10" w:customStyle="true">
    <w:name w:val="Caselaw Numbered 1"/>
    <w:basedOn w:val="CaselawNormal"/>
    <w:uiPriority w:val="5"/>
    <w:qFormat/>
    <w:rsid w:val="007360E8"/>
    <w:pPr>
      <w:numPr>
        <w:numId w:val="1"/>
      </w:numPr>
      <w:ind w:left="720" w:hanging="720"/>
    </w:pPr>
  </w:style>
  <w:style w:type="paragraph" w:styleId="CaselawNumbered1" w:customStyle="true">
    <w:name w:val="Caselaw Numbered (1)"/>
    <w:basedOn w:val="CaselawNumbered10"/>
    <w:qFormat/>
    <w:rsid w:val="000A5273"/>
    <w:pPr>
      <w:numPr>
        <w:numId w:val="2"/>
      </w:numPr>
      <w:spacing w:after="360" w:line="240" w:lineRule="auto"/>
      <w:ind w:left="1440" w:hanging="720"/>
    </w:pPr>
  </w:style>
  <w:style w:type="paragraph" w:styleId="CaselawNumbereda" w:customStyle="true">
    <w:name w:val="Caselaw Numbered (a)"/>
    <w:basedOn w:val="CaselawNumbered1"/>
    <w:qFormat/>
    <w:rsid w:val="006E7434"/>
    <w:pPr>
      <w:numPr>
        <w:numId w:val="3"/>
      </w:numPr>
      <w:ind w:left="2160" w:hanging="720"/>
    </w:pPr>
  </w:style>
  <w:style w:type="paragraph" w:styleId="CaselawNumberedi" w:customStyle="true">
    <w:name w:val="Caselaw Numbered (i)"/>
    <w:basedOn w:val="CaselawNumbereda"/>
    <w:qFormat/>
    <w:rsid w:val="006E7434"/>
    <w:pPr>
      <w:numPr>
        <w:numId w:val="4"/>
      </w:numPr>
      <w:ind w:left="2880" w:hanging="720"/>
    </w:pPr>
  </w:style>
  <w:style w:type="paragraph" w:styleId="CaselawHeading1" w:customStyle="true">
    <w:name w:val="Caselaw Heading 1"/>
    <w:basedOn w:val="CaselawCoversheet"/>
    <w:next w:val="CaselawNumbered10"/>
    <w:uiPriority w:val="1"/>
    <w:qFormat/>
    <w:rsid w:val="00770D05"/>
    <w:pPr>
      <w:spacing w:after="240"/>
      <w:outlineLvl w:val="0"/>
    </w:pPr>
    <w:rPr>
      <w:b/>
      <w:caps/>
      <w:sz w:val="28"/>
    </w:rPr>
  </w:style>
  <w:style w:type="paragraph" w:styleId="CaselawHeading2" w:customStyle="true">
    <w:name w:val="Caselaw Heading 2"/>
    <w:basedOn w:val="CaselawHeading1"/>
    <w:next w:val="CaselawNumbered10"/>
    <w:uiPriority w:val="2"/>
    <w:qFormat/>
    <w:rsid w:val="009459F3"/>
    <w:pPr>
      <w:outlineLvl w:val="1"/>
    </w:pPr>
    <w:rPr>
      <w:caps w:val="false"/>
      <w:sz w:val="24"/>
    </w:rPr>
  </w:style>
  <w:style w:type="paragraph" w:styleId="CaselawHeading3" w:customStyle="true">
    <w:name w:val="Caselaw Heading 3"/>
    <w:basedOn w:val="CaselawHeading1"/>
    <w:next w:val="CaselawNumbered10"/>
    <w:uiPriority w:val="3"/>
    <w:qFormat/>
    <w:rsid w:val="009459F3"/>
    <w:pPr>
      <w:outlineLvl w:val="2"/>
    </w:pPr>
    <w:rPr>
      <w:b w:val="false"/>
      <w:i/>
      <w:caps w:val="false"/>
      <w:sz w:val="24"/>
    </w:rPr>
  </w:style>
  <w:style w:type="paragraph" w:styleId="CaselawQuote" w:customStyle="true">
    <w:name w:val="Caselaw Quote &gt;"/>
    <w:basedOn w:val="CaselawNormal"/>
    <w:qFormat/>
    <w:rsid w:val="00DA03B8"/>
    <w:pPr>
      <w:spacing w:after="360" w:line="240" w:lineRule="auto"/>
    </w:pPr>
    <w:rPr>
      <w:sz w:val="22"/>
    </w:rPr>
  </w:style>
  <w:style w:type="paragraph" w:styleId="CaselawQuote0" w:customStyle="true">
    <w:name w:val="Caselaw Quote &gt;&gt;"/>
    <w:basedOn w:val="CaselawNormal"/>
    <w:qFormat/>
    <w:rsid w:val="000A5273"/>
    <w:pPr>
      <w:spacing w:after="360" w:line="240" w:lineRule="auto"/>
      <w:ind w:left="2160"/>
    </w:pPr>
    <w:rPr>
      <w:sz w:val="22"/>
    </w:rPr>
  </w:style>
  <w:style w:type="paragraph" w:styleId="CaselawQuote1" w:customStyle="true">
    <w:name w:val="Caselaw Quote &gt;&gt;&gt;"/>
    <w:basedOn w:val="CaselawQuote0"/>
    <w:qFormat/>
    <w:rsid w:val="000A5273"/>
    <w:pPr>
      <w:ind w:left="2880"/>
    </w:pPr>
  </w:style>
  <w:style w:type="paragraph" w:styleId="CaselawHeading4" w:customStyle="true">
    <w:name w:val="Caselaw Heading 4"/>
    <w:basedOn w:val="CaselawHeading1"/>
    <w:next w:val="CaselawNumbered10"/>
    <w:uiPriority w:val="4"/>
    <w:qFormat/>
    <w:rsid w:val="009459F3"/>
    <w:pPr>
      <w:ind w:left="720"/>
      <w:outlineLvl w:val="3"/>
    </w:pPr>
    <w:rPr>
      <w:caps w:val="false"/>
      <w:sz w:val="22"/>
    </w:rPr>
  </w:style>
  <w:style w:type="character" w:styleId="Heading1Char" w:customStyle="true">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hAnsiTheme="majorHAnsi" w:eastAsiaTheme="majorEastAsia" w:cstheme="majorBidi"/>
      <w:b/>
      <w:bCs/>
      <w:kern w:val="32"/>
      <w:sz w:val="32"/>
      <w:szCs w:val="32"/>
      <w:lang w:eastAsia="en-US"/>
    </w:rPr>
  </w:style>
  <w:style w:type="character" w:styleId="Heading2Char" w:customStyle="true">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hAnsiTheme="majorHAnsi" w:eastAsiaTheme="majorEastAsia" w:cstheme="majorBidi"/>
      <w:b/>
      <w:bCs/>
      <w:i/>
      <w:iCs/>
      <w:sz w:val="28"/>
      <w:szCs w:val="28"/>
      <w:lang w:eastAsia="en-US"/>
    </w:rPr>
  </w:style>
  <w:style w:type="character" w:styleId="Heading3Char" w:customStyle="true">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hAnsiTheme="majorHAnsi" w:eastAsiaTheme="majorEastAsia" w:cstheme="majorBidi"/>
      <w:b/>
      <w:bCs/>
      <w:sz w:val="26"/>
      <w:szCs w:val="26"/>
      <w:lang w:eastAsia="en-US"/>
    </w:rPr>
  </w:style>
  <w:style w:type="table" w:styleId="TableGrid">
    <w:name w:val="Table Grid"/>
    <w:basedOn w:val="TableNormal"/>
    <w:uiPriority w:val="59"/>
    <w:locked/>
    <w:rsid w:val="002D6852"/>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CaselawBullet" w:customStyle="true">
    <w:name w:val="Caselaw Bullet"/>
    <w:basedOn w:val="CaselawNormal"/>
    <w:uiPriority w:val="1"/>
    <w:qFormat/>
    <w:locked/>
    <w:rsid w:val="00F36D30"/>
    <w:pPr>
      <w:numPr>
        <w:numId w:val="5"/>
      </w:numPr>
      <w:spacing w:after="360" w:line="240" w:lineRule="auto"/>
      <w:ind w:hanging="720"/>
    </w:pPr>
  </w:style>
  <w:style w:type="paragraph" w:styleId="CaselawHeading5" w:customStyle="true">
    <w:name w:val="Caselaw Heading 5"/>
    <w:basedOn w:val="CaselawHeading4"/>
    <w:rsid w:val="009459F3"/>
    <w:rPr>
      <w:b w:val="false"/>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styleId="Style1" w:customStyle="true">
    <w:name w:val="Style1"/>
    <w:basedOn w:val="Strong"/>
    <w:uiPriority w:val="1"/>
    <w:locked/>
    <w:rsid w:val="00C13AF5"/>
    <w:rPr>
      <w:rFonts w:ascii="Arial" w:hAnsi="Arial"/>
      <w:b w:val="false"/>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styleId="DocumentMapChar" w:customStyle="true">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true" w:after="100" w:afterAutospacing="true" w:line="240" w:lineRule="auto"/>
    </w:pPr>
    <w:rPr>
      <w:rFonts w:ascii="Times New Roman" w:hAnsi="Times New Roman" w:eastAsia="Times New Roman"/>
    </w:rPr>
  </w:style>
  <w:style w:type="paragraph" w:styleId="judgmentpara" w:customStyle="true">
    <w:name w:val="judgment_para"/>
    <w:basedOn w:val="Normal"/>
    <w:rsid w:val="00677778"/>
    <w:pPr>
      <w:spacing w:before="100" w:beforeAutospacing="true" w:after="100" w:afterAutospacing="true" w:line="240" w:lineRule="auto"/>
    </w:pPr>
    <w:rPr>
      <w:rFonts w:ascii="Times New Roman" w:hAnsi="Times New Roman" w:eastAsia="Times New Roman"/>
    </w:rPr>
  </w:style>
  <w:style w:type="character" w:styleId="listnumber" w:customStyle="true">
    <w:name w:val="list_number_"/>
    <w:basedOn w:val="DefaultParagraphFont"/>
    <w:rsid w:val="00677778"/>
  </w:style>
  <w:style w:type="paragraph" w:styleId="judgmentnumbereda" w:customStyle="true">
    <w:name w:val="judgment_numbered_a_"/>
    <w:basedOn w:val="Normal"/>
    <w:rsid w:val="00B74D80"/>
    <w:pPr>
      <w:spacing w:before="100" w:beforeAutospacing="true" w:after="100" w:afterAutospacing="true" w:line="240" w:lineRule="auto"/>
    </w:pPr>
    <w:rPr>
      <w:rFonts w:ascii="Times New Roman" w:hAnsi="Times New Roman" w:eastAsia="Times New Roman"/>
    </w:rPr>
  </w:style>
  <w:style w:type="paragraph" w:styleId="judgmentnumberedi" w:customStyle="true">
    <w:name w:val="judgment_numbered_i_"/>
    <w:basedOn w:val="Normal"/>
    <w:rsid w:val="00B74D80"/>
    <w:pPr>
      <w:spacing w:before="100" w:beforeAutospacing="true" w:after="100" w:afterAutospacing="true" w:line="240" w:lineRule="auto"/>
    </w:pPr>
    <w:rPr>
      <w:rFonts w:ascii="Times New Roman" w:hAnsi="Times New Roman" w:eastAsia="Times New Roman"/>
    </w:rPr>
  </w:style>
  <w:style w:type="character" w:styleId="Heading4Char" w:customStyle="true">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hAnsiTheme="majorHAnsi" w:eastAsiaTheme="majorEastAsia" w:cstheme="majorBidi"/>
      <w:b/>
      <w:bCs/>
      <w:i/>
      <w:iCs/>
      <w:color w:val="4F81BD" w:themeColor="accent1"/>
    </w:rPr>
  </w:style>
  <w:style w:type="character" w:styleId="Heading5Char" w:customStyle="true">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styleId="Heading6Char" w:customStyle="true">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styleId="Heading7Char" w:customStyle="true">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styleId="Heading8Char" w:customStyle="true">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styleId="Heading9Char" w:customStyle="true">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styleId="Heading1Char1" w:customStyle="true">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hAnsiTheme="majorHAnsi" w:eastAsiaTheme="majorEastAsia" w:cstheme="majorBidi"/>
      <w:b/>
      <w:bCs/>
      <w:color w:val="365F91" w:themeColor="accent1" w:themeShade="BF"/>
      <w:sz w:val="28"/>
      <w:szCs w:val="28"/>
      <w:lang w:eastAsia="en-US"/>
    </w:rPr>
  </w:style>
  <w:style w:type="character" w:styleId="Heading2Char1" w:customStyle="true">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hAnsiTheme="majorHAnsi" w:eastAsiaTheme="majorEastAsia" w:cstheme="majorBidi"/>
      <w:b/>
      <w:bCs/>
      <w:color w:val="4F81BD" w:themeColor="accent1"/>
      <w:sz w:val="26"/>
      <w:szCs w:val="26"/>
      <w:lang w:eastAsia="en-US"/>
    </w:rPr>
  </w:style>
  <w:style w:type="character" w:styleId="Heading3Char1" w:customStyle="true">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hAnsiTheme="majorHAnsi" w:eastAsiaTheme="majorEastAsia" w:cstheme="majorBidi"/>
      <w:b/>
      <w:bCs/>
      <w:color w:val="4F81BD" w:themeColor="accent1"/>
      <w:lang w:eastAsia="en-US"/>
    </w:rPr>
  </w:style>
  <w:style w:type="character" w:styleId="Heading4Char1" w:customStyle="true">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hAnsiTheme="majorHAnsi" w:eastAsiaTheme="majorEastAsia" w:cstheme="majorBidi"/>
      <w:b/>
      <w:bCs/>
      <w:i/>
      <w:iCs/>
      <w:color w:val="4F81BD" w:themeColor="accent1"/>
      <w:lang w:eastAsia="en-US"/>
    </w:rPr>
  </w:style>
  <w:style w:type="character" w:styleId="Heading5Char1" w:customStyle="true">
    <w:name w:val="Heading 5 Char1"/>
    <w:aliases w:val="Level 3 - i Char1,5 Char1,Normal5 Char1,Level 3 - (i) Char1"/>
    <w:basedOn w:val="DefaultParagraphFont"/>
    <w:semiHidden/>
    <w:rsid w:val="00E1232E"/>
    <w:rPr>
      <w:rFonts w:asciiTheme="majorHAnsi" w:hAnsiTheme="majorHAnsi" w:eastAsiaTheme="majorEastAsia" w:cstheme="majorBidi"/>
      <w:color w:val="243F60" w:themeColor="accent1" w:themeShade="7F"/>
      <w:lang w:eastAsia="en-US"/>
    </w:rPr>
  </w:style>
  <w:style w:type="character" w:styleId="Heading6Char1" w:customStyle="true">
    <w:name w:val="Heading 6 Char1"/>
    <w:aliases w:val="Legal Level 1. Char1,Body Text 5 Char1,Normal6 Char1"/>
    <w:basedOn w:val="DefaultParagraphFont"/>
    <w:semiHidden/>
    <w:rsid w:val="00E1232E"/>
    <w:rPr>
      <w:rFonts w:asciiTheme="majorHAnsi" w:hAnsiTheme="majorHAnsi" w:eastAsiaTheme="majorEastAsia" w:cstheme="majorBidi"/>
      <w:i/>
      <w:iCs/>
      <w:color w:val="243F60" w:themeColor="accent1" w:themeShade="7F"/>
      <w:lang w:eastAsia="en-US"/>
    </w:rPr>
  </w:style>
  <w:style w:type="character" w:styleId="Heading7Char1" w:customStyle="true">
    <w:name w:val="Heading 7 Char1"/>
    <w:aliases w:val="Legal Level 1.1. Char1,Body Text 6 Char1,Heading 7(unused) Char1,Normal7 Char1"/>
    <w:basedOn w:val="DefaultParagraphFont"/>
    <w:semiHidden/>
    <w:rsid w:val="00E1232E"/>
    <w:rPr>
      <w:rFonts w:asciiTheme="majorHAnsi" w:hAnsiTheme="majorHAnsi" w:eastAsiaTheme="majorEastAsia" w:cstheme="majorBidi"/>
      <w:i/>
      <w:iCs/>
      <w:color w:val="404040" w:themeColor="text1" w:themeTint="BF"/>
      <w:lang w:eastAsia="en-US"/>
    </w:rPr>
  </w:style>
  <w:style w:type="character" w:styleId="Heading8Char1" w:customStyle="true">
    <w:name w:val="Heading 8 Char1"/>
    <w:aliases w:val="Legal Level 1.1.1. Char1,Body Text 7 Char1,Heading 8(unused) Char1,Heading 8 (Start Appendices) Char1,Normal8 Char1"/>
    <w:basedOn w:val="DefaultParagraphFont"/>
    <w:semiHidden/>
    <w:rsid w:val="00E1232E"/>
    <w:rPr>
      <w:rFonts w:asciiTheme="majorHAnsi" w:hAnsiTheme="majorHAnsi" w:eastAsiaTheme="majorEastAsia" w:cstheme="majorBidi"/>
      <w:color w:val="404040" w:themeColor="text1" w:themeTint="BF"/>
      <w:lang w:eastAsia="en-US"/>
    </w:rPr>
  </w:style>
  <w:style w:type="character" w:styleId="Heading9Char1" w:customStyle="true">
    <w:name w:val="Heading 9 Char1"/>
    <w:aliases w:val="Legal Level 1.1.1.1. Char1,Body Text 8 Char1,Heading 9(unused) Char1,Appendix Char1"/>
    <w:basedOn w:val="DefaultParagraphFont"/>
    <w:semiHidden/>
    <w:rsid w:val="00E1232E"/>
    <w:rPr>
      <w:rFonts w:asciiTheme="majorHAnsi" w:hAnsiTheme="majorHAnsi" w:eastAsiaTheme="majorEastAsia"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false"/>
      <w:autoSpaceDE w:val="false"/>
      <w:autoSpaceDN w:val="false"/>
      <w:adjustRightInd w:val="false"/>
      <w:spacing w:after="0" w:line="240" w:lineRule="auto"/>
      <w:jc w:val="both"/>
    </w:pPr>
    <w:rPr>
      <w:rFonts w:ascii="Times New Roman" w:hAnsi="Times New Roman" w:eastAsia="Times New Roman"/>
      <w:szCs w:val="20"/>
      <w:lang w:eastAsia="en-US"/>
    </w:rPr>
  </w:style>
  <w:style w:type="paragraph" w:styleId="Index2">
    <w:name w:val="index 2"/>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480" w:hanging="240"/>
      <w:jc w:val="both"/>
    </w:pPr>
    <w:rPr>
      <w:rFonts w:ascii="Times New Roman" w:hAnsi="Times New Roman" w:eastAsia="Times New Roman"/>
      <w:szCs w:val="20"/>
      <w:lang w:eastAsia="en-US"/>
    </w:rPr>
  </w:style>
  <w:style w:type="paragraph" w:styleId="Index3">
    <w:name w:val="index 3"/>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720" w:hanging="240"/>
      <w:jc w:val="both"/>
    </w:pPr>
    <w:rPr>
      <w:rFonts w:ascii="Times New Roman" w:hAnsi="Times New Roman" w:eastAsia="Times New Roman"/>
      <w:szCs w:val="20"/>
      <w:lang w:eastAsia="en-US"/>
    </w:rPr>
  </w:style>
  <w:style w:type="paragraph" w:styleId="Index4">
    <w:name w:val="index 4"/>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960" w:hanging="240"/>
      <w:jc w:val="both"/>
    </w:pPr>
    <w:rPr>
      <w:rFonts w:ascii="Times New Roman" w:hAnsi="Times New Roman" w:eastAsia="Times New Roman"/>
      <w:szCs w:val="20"/>
      <w:lang w:eastAsia="en-US"/>
    </w:rPr>
  </w:style>
  <w:style w:type="paragraph" w:styleId="Index5">
    <w:name w:val="index 5"/>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200" w:hanging="240"/>
      <w:jc w:val="both"/>
    </w:pPr>
    <w:rPr>
      <w:rFonts w:ascii="Times New Roman" w:hAnsi="Times New Roman" w:eastAsia="Times New Roman"/>
      <w:szCs w:val="20"/>
      <w:lang w:eastAsia="en-US"/>
    </w:rPr>
  </w:style>
  <w:style w:type="paragraph" w:styleId="Index6">
    <w:name w:val="index 6"/>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440" w:hanging="240"/>
      <w:jc w:val="both"/>
    </w:pPr>
    <w:rPr>
      <w:rFonts w:ascii="Times New Roman" w:hAnsi="Times New Roman" w:eastAsia="Times New Roman"/>
      <w:szCs w:val="20"/>
      <w:lang w:eastAsia="en-US"/>
    </w:rPr>
  </w:style>
  <w:style w:type="paragraph" w:styleId="Index7">
    <w:name w:val="index 7"/>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680" w:hanging="240"/>
      <w:jc w:val="both"/>
    </w:pPr>
    <w:rPr>
      <w:rFonts w:ascii="Times New Roman" w:hAnsi="Times New Roman" w:eastAsia="Times New Roman"/>
      <w:szCs w:val="20"/>
      <w:lang w:eastAsia="en-US"/>
    </w:rPr>
  </w:style>
  <w:style w:type="paragraph" w:styleId="Index8">
    <w:name w:val="index 8"/>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1920" w:hanging="240"/>
      <w:jc w:val="both"/>
    </w:pPr>
    <w:rPr>
      <w:rFonts w:ascii="Times New Roman" w:hAnsi="Times New Roman" w:eastAsia="Times New Roman"/>
      <w:szCs w:val="20"/>
      <w:lang w:eastAsia="en-US"/>
    </w:rPr>
  </w:style>
  <w:style w:type="paragraph" w:styleId="Index9">
    <w:name w:val="index 9"/>
    <w:basedOn w:val="Normal"/>
    <w:next w:val="Normal"/>
    <w:autoRedefine/>
    <w:uiPriority w:val="99"/>
    <w:semiHidden/>
    <w:unhideWhenUsed/>
    <w:locked/>
    <w:rsid w:val="00E1232E"/>
    <w:pPr>
      <w:keepLines/>
      <w:overflowPunct w:val="false"/>
      <w:autoSpaceDE w:val="false"/>
      <w:autoSpaceDN w:val="false"/>
      <w:adjustRightInd w:val="false"/>
      <w:spacing w:before="240" w:after="0" w:line="240" w:lineRule="auto"/>
      <w:ind w:left="2160" w:hanging="240"/>
      <w:jc w:val="both"/>
    </w:pPr>
    <w:rPr>
      <w:rFonts w:ascii="Times New Roman" w:hAnsi="Times New Roman" w:eastAsia="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false"/>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200"/>
      <w:jc w:val="both"/>
    </w:pPr>
    <w:rPr>
      <w:rFonts w:ascii="Times New Roman" w:hAnsi="Times New Roman" w:eastAsia="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440"/>
      <w:jc w:val="both"/>
    </w:pPr>
    <w:rPr>
      <w:rFonts w:ascii="Times New Roman" w:hAnsi="Times New Roman" w:eastAsia="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680"/>
      <w:jc w:val="both"/>
    </w:pPr>
    <w:rPr>
      <w:rFonts w:ascii="Times New Roman" w:hAnsi="Times New Roman" w:eastAsia="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false"/>
      <w:autoSpaceDE w:val="false"/>
      <w:autoSpaceDN w:val="false"/>
      <w:adjustRightInd w:val="false"/>
      <w:spacing w:before="240" w:after="0" w:line="240" w:lineRule="auto"/>
      <w:ind w:left="1920"/>
      <w:jc w:val="both"/>
    </w:pPr>
    <w:rPr>
      <w:rFonts w:ascii="Times New Roman" w:hAnsi="Times New Roman" w:eastAsia="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hAnsiTheme="minorHAnsi" w:eastAsiaTheme="minorEastAsia" w:cstheme="minorBidi"/>
      <w:sz w:val="20"/>
      <w:szCs w:val="20"/>
      <w:lang w:val="en-US" w:eastAsia="ja-JP"/>
    </w:rPr>
  </w:style>
  <w:style w:type="character" w:styleId="FootnoteTextChar" w:customStyle="true">
    <w:name w:val="Footnote Text Char"/>
    <w:basedOn w:val="DefaultParagraphFont"/>
    <w:link w:val="FootnoteText"/>
    <w:uiPriority w:val="99"/>
    <w:rsid w:val="00E1232E"/>
    <w:rPr>
      <w:rFonts w:asciiTheme="minorHAnsi" w:hAnsiTheme="minorHAnsi" w:eastAsiaTheme="minorEastAsia"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styleId="CommentTextChar" w:customStyle="true">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HeaderChar" w:customStyle="true">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styleId="FooterChar" w:customStyle="true">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false"/>
      <w:autoSpaceDE w:val="false"/>
      <w:autoSpaceDN w:val="false"/>
      <w:adjustRightInd w:val="false"/>
      <w:spacing w:before="240" w:after="0" w:line="240" w:lineRule="auto"/>
      <w:jc w:val="both"/>
    </w:pPr>
    <w:rPr>
      <w:rFonts w:ascii="Times New Roman" w:hAnsi="Times New Roman" w:eastAsia="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false"/>
      <w:autoSpaceDE w:val="false"/>
      <w:autoSpaceDN w:val="false"/>
      <w:adjustRightInd w:val="false"/>
      <w:spacing w:before="240" w:after="0" w:line="240" w:lineRule="auto"/>
      <w:ind w:left="567"/>
      <w:jc w:val="center"/>
    </w:pPr>
    <w:rPr>
      <w:rFonts w:ascii="Times New Roman" w:hAnsi="Times New Roman" w:eastAsia="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hAnsi="Arial(W1)" w:eastAsia="Times New Roman"/>
      <w:sz w:val="20"/>
      <w:szCs w:val="22"/>
      <w:lang w:eastAsia="en-US"/>
    </w:rPr>
  </w:style>
  <w:style w:type="character" w:styleId="BodyTextChar" w:customStyle="true">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styleId="BodyTextChar1" w:customStyle="true">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styleId="BodyTextIndentChar" w:customStyle="true">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styleId="BodyText2Char" w:customStyle="true">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styleId="BodyText3Char" w:customStyle="true">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styleId="BodyTextIndent2Char" w:customStyle="true">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styleId="BodyTextIndent3Char" w:customStyle="true">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hAnsi="Courier New" w:eastAsia="Times New Roman" w:cs="Courier New"/>
      <w:sz w:val="20"/>
      <w:szCs w:val="20"/>
      <w:lang w:eastAsia="en-US"/>
    </w:rPr>
  </w:style>
  <w:style w:type="character" w:styleId="PlainTextChar" w:customStyle="true">
    <w:name w:val="Plain Text Char"/>
    <w:basedOn w:val="DefaultParagraphFont"/>
    <w:link w:val="PlainText"/>
    <w:uiPriority w:val="99"/>
    <w:semiHidden/>
    <w:rsid w:val="00E1232E"/>
    <w:rPr>
      <w:rFonts w:ascii="Courier New" w:hAnsi="Courier New" w:eastAsia="Times New Roman"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styleId="CommentSubjectChar" w:customStyle="true">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styleId="HeaderFooter" w:customStyle="true">
    <w:name w:val="Header/Footer"/>
    <w:basedOn w:val="Normal"/>
    <w:uiPriority w:val="99"/>
    <w:semiHidden/>
    <w:rsid w:val="00E1232E"/>
    <w:pPr>
      <w:spacing w:after="0" w:line="240" w:lineRule="auto"/>
      <w:jc w:val="right"/>
    </w:pPr>
    <w:rPr>
      <w:rFonts w:ascii="Arial (W1)" w:hAnsi="Arial (W1)" w:eastAsia="Times New Roman"/>
      <w:b/>
      <w:sz w:val="16"/>
      <w:szCs w:val="20"/>
      <w:lang w:eastAsia="en-US"/>
    </w:rPr>
  </w:style>
  <w:style w:type="paragraph" w:styleId="ListBulletIndent" w:customStyle="true">
    <w:name w:val="List Bullet Indent"/>
    <w:basedOn w:val="ListBullet"/>
    <w:uiPriority w:val="99"/>
    <w:semiHidden/>
    <w:rsid w:val="00E1232E"/>
    <w:pPr>
      <w:numPr>
        <w:numId w:val="8"/>
      </w:numPr>
    </w:pPr>
  </w:style>
  <w:style w:type="paragraph" w:styleId="TableText" w:customStyle="true">
    <w:name w:val="Table Text"/>
    <w:basedOn w:val="Normal"/>
    <w:uiPriority w:val="99"/>
    <w:semiHidden/>
    <w:rsid w:val="00E1232E"/>
    <w:pPr>
      <w:spacing w:before="60" w:after="60" w:line="300" w:lineRule="auto"/>
    </w:pPr>
    <w:rPr>
      <w:rFonts w:eastAsia="Times New Roman" w:cs="Arial"/>
      <w:sz w:val="20"/>
      <w:szCs w:val="20"/>
      <w:lang w:eastAsia="en-US"/>
    </w:rPr>
  </w:style>
  <w:style w:type="paragraph" w:styleId="Guidance" w:customStyle="true">
    <w:name w:val="Guidance"/>
    <w:basedOn w:val="BodyText"/>
    <w:uiPriority w:val="99"/>
    <w:semiHidden/>
    <w:rsid w:val="00E1232E"/>
    <w:pPr>
      <w:pBdr>
        <w:top w:val="single" w:color="auto" w:sz="4" w:space="6"/>
        <w:left w:val="single" w:color="auto" w:sz="4" w:space="6"/>
        <w:bottom w:val="single" w:color="auto" w:sz="4" w:space="6"/>
        <w:right w:val="single" w:color="auto" w:sz="4" w:space="6"/>
      </w:pBdr>
      <w:spacing w:before="0" w:after="0" w:line="240" w:lineRule="auto"/>
      <w:ind w:left="851"/>
    </w:pPr>
    <w:rPr>
      <w:rFonts w:ascii="Times New Roman" w:hAnsi="Times New Roman"/>
      <w:i/>
    </w:rPr>
  </w:style>
  <w:style w:type="paragraph" w:styleId="Tabletext0" w:customStyle="true">
    <w:name w:val="Table text"/>
    <w:basedOn w:val="Normal"/>
    <w:uiPriority w:val="99"/>
    <w:semiHidden/>
    <w:rsid w:val="00E1232E"/>
    <w:pPr>
      <w:spacing w:before="60" w:after="60" w:line="300" w:lineRule="auto"/>
    </w:pPr>
    <w:rPr>
      <w:rFonts w:eastAsia="Times New Roman" w:cs="Arial"/>
      <w:sz w:val="18"/>
      <w:szCs w:val="20"/>
      <w:lang w:eastAsia="en-US"/>
    </w:rPr>
  </w:style>
  <w:style w:type="paragraph" w:styleId="ListwithBullet" w:customStyle="true">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styleId="ListwithBulletinTable" w:customStyle="true">
    <w:name w:val="List with Bullet in Table"/>
    <w:basedOn w:val="ListwithBullet"/>
    <w:uiPriority w:val="99"/>
    <w:semiHidden/>
    <w:qFormat/>
    <w:rsid w:val="00E1232E"/>
    <w:rPr>
      <w:szCs w:val="22"/>
    </w:rPr>
  </w:style>
  <w:style w:type="paragraph" w:styleId="DBRNumbering" w:customStyle="true">
    <w:name w:val="DBR Numbering"/>
    <w:basedOn w:val="TableText"/>
    <w:uiPriority w:val="99"/>
    <w:semiHidden/>
    <w:qFormat/>
    <w:rsid w:val="00E1232E"/>
    <w:pPr>
      <w:numPr>
        <w:numId w:val="10"/>
      </w:numPr>
      <w:spacing w:line="240" w:lineRule="auto"/>
    </w:pPr>
  </w:style>
  <w:style w:type="paragraph" w:styleId="NFRNumbering" w:customStyle="true">
    <w:name w:val="NFR Numbering"/>
    <w:basedOn w:val="DBRNumbering"/>
    <w:uiPriority w:val="99"/>
    <w:semiHidden/>
    <w:qFormat/>
    <w:rsid w:val="00E1232E"/>
    <w:pPr>
      <w:numPr>
        <w:numId w:val="11"/>
      </w:numPr>
    </w:pPr>
    <w:rPr>
      <w:szCs w:val="24"/>
    </w:rPr>
  </w:style>
  <w:style w:type="character" w:styleId="TableHeadingChar" w:customStyle="true">
    <w:name w:val="Table Heading Char"/>
    <w:basedOn w:val="DefaultParagraphFont"/>
    <w:link w:val="TableHeading"/>
    <w:semiHidden/>
    <w:locked/>
    <w:rsid w:val="00E1232E"/>
    <w:rPr>
      <w:rFonts w:ascii="Arial Bold" w:hAnsi="Arial Bold"/>
      <w:b/>
      <w:sz w:val="18"/>
      <w:szCs w:val="22"/>
      <w:lang w:eastAsia="ar-SA"/>
    </w:rPr>
  </w:style>
  <w:style w:type="paragraph" w:styleId="TableHeading" w:customStyle="true">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styleId="TableBullet" w:customStyle="true">
    <w:name w:val="Table Bullet"/>
    <w:basedOn w:val="TableText"/>
    <w:uiPriority w:val="99"/>
    <w:semiHidden/>
    <w:rsid w:val="00E1232E"/>
    <w:pPr>
      <w:numPr>
        <w:numId w:val="12"/>
      </w:numPr>
      <w:spacing w:line="240" w:lineRule="auto"/>
    </w:pPr>
    <w:rPr>
      <w:rFonts w:ascii="Arial (W1)" w:hAnsi="Arial (W1)" w:cs="Times New Roman"/>
      <w:sz w:val="22"/>
    </w:rPr>
  </w:style>
  <w:style w:type="paragraph" w:styleId="Bulletforunderhdr12" w:customStyle="true">
    <w:name w:val="Bullet for under hdr 1 &amp; 2"/>
    <w:basedOn w:val="Normal"/>
    <w:uiPriority w:val="99"/>
    <w:semiHidden/>
    <w:rsid w:val="00E1232E"/>
    <w:pPr>
      <w:numPr>
        <w:numId w:val="13"/>
      </w:numPr>
      <w:spacing w:before="240" w:after="120" w:line="300" w:lineRule="auto"/>
    </w:pPr>
    <w:rPr>
      <w:rFonts w:ascii="Helvetica" w:hAnsi="Helvetica" w:eastAsia="Times New Roman"/>
      <w:sz w:val="20"/>
      <w:szCs w:val="20"/>
      <w:lang w:val="en-GB" w:eastAsia="en-US"/>
    </w:rPr>
  </w:style>
  <w:style w:type="paragraph" w:styleId="Bulletforblueiinfo" w:customStyle="true">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styleId="TableNormal1" w:customStyle="true">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styleId="TableHeadingCentre" w:customStyle="true">
    <w:name w:val="Table Heading Centre"/>
    <w:basedOn w:val="TableHeading"/>
    <w:uiPriority w:val="99"/>
    <w:semiHidden/>
    <w:rsid w:val="00E1232E"/>
    <w:pPr>
      <w:suppressAutoHyphens w:val="false"/>
      <w:spacing w:before="60"/>
      <w:jc w:val="center"/>
    </w:pPr>
    <w:rPr>
      <w:rFonts w:ascii="Arial (W1)" w:hAnsi="Arial (W1)"/>
      <w:lang w:eastAsia="en-US"/>
    </w:rPr>
  </w:style>
  <w:style w:type="paragraph" w:styleId="heading2text" w:customStyle="true">
    <w:name w:val="heading 2 text"/>
    <w:basedOn w:val="Normal"/>
    <w:uiPriority w:val="99"/>
    <w:semiHidden/>
    <w:rsid w:val="00E1232E"/>
    <w:pPr>
      <w:overflowPunct w:val="false"/>
      <w:autoSpaceDE w:val="false"/>
      <w:autoSpaceDN w:val="false"/>
      <w:adjustRightInd w:val="false"/>
      <w:spacing w:after="0" w:line="240" w:lineRule="auto"/>
      <w:ind w:left="1134"/>
      <w:jc w:val="both"/>
    </w:pPr>
    <w:rPr>
      <w:rFonts w:ascii="Times New Roman" w:hAnsi="Times New Roman" w:eastAsia="Times New Roman"/>
      <w:szCs w:val="20"/>
      <w:lang w:eastAsia="en-US"/>
    </w:rPr>
  </w:style>
  <w:style w:type="paragraph" w:styleId="ReturnAddress" w:customStyle="true">
    <w:name w:val="Return Address"/>
    <w:basedOn w:val="Normal"/>
    <w:uiPriority w:val="99"/>
    <w:semiHidden/>
    <w:rsid w:val="00E1232E"/>
    <w:pPr>
      <w:keepLines/>
      <w:framePr w:w="5040" w:vSpace="187" w:hSpace="187" w:wrap="notBeside" w:hAnchor="margin" w:vAnchor="page" w:y="966"/>
      <w:widowControl w:val="false"/>
      <w:overflowPunct w:val="false"/>
      <w:autoSpaceDE w:val="false"/>
      <w:autoSpaceDN w:val="false"/>
      <w:adjustRightInd w:val="false"/>
      <w:spacing w:after="0" w:line="200" w:lineRule="atLeast"/>
    </w:pPr>
    <w:rPr>
      <w:rFonts w:eastAsia="Times New Roman"/>
      <w:spacing w:val="-2"/>
      <w:sz w:val="16"/>
      <w:szCs w:val="20"/>
      <w:lang w:val="en-US" w:eastAsia="en-US"/>
    </w:rPr>
  </w:style>
  <w:style w:type="paragraph" w:styleId="Heading1Text" w:customStyle="true">
    <w:name w:val="Heading 1 Text"/>
    <w:basedOn w:val="Normal"/>
    <w:uiPriority w:val="99"/>
    <w:semiHidden/>
    <w:rsid w:val="00E1232E"/>
    <w:pPr>
      <w:overflowPunct w:val="false"/>
      <w:autoSpaceDE w:val="false"/>
      <w:autoSpaceDN w:val="false"/>
      <w:adjustRightInd w:val="false"/>
      <w:spacing w:after="0" w:line="240" w:lineRule="auto"/>
      <w:ind w:left="567"/>
      <w:jc w:val="both"/>
    </w:pPr>
    <w:rPr>
      <w:rFonts w:ascii="Times New Roman" w:hAnsi="Times New Roman" w:eastAsia="Times New Roman"/>
      <w:szCs w:val="20"/>
      <w:lang w:eastAsia="en-US"/>
    </w:rPr>
  </w:style>
  <w:style w:type="paragraph" w:styleId="Bullet" w:customStyle="true">
    <w:name w:val="Bullet"/>
    <w:basedOn w:val="Normal"/>
    <w:uiPriority w:val="99"/>
    <w:semiHidden/>
    <w:rsid w:val="00E1232E"/>
    <w:pPr>
      <w:overflowPunct w:val="false"/>
      <w:autoSpaceDE w:val="false"/>
      <w:autoSpaceDN w:val="false"/>
      <w:adjustRightInd w:val="false"/>
      <w:spacing w:before="120" w:after="0" w:line="240" w:lineRule="auto"/>
      <w:ind w:left="1418" w:hanging="567"/>
      <w:jc w:val="both"/>
    </w:pPr>
    <w:rPr>
      <w:rFonts w:ascii="Times New Roman" w:hAnsi="Times New Roman" w:eastAsia="Times New Roman"/>
      <w:szCs w:val="20"/>
      <w:lang w:eastAsia="en-US"/>
    </w:rPr>
  </w:style>
  <w:style w:type="paragraph" w:styleId="Topic" w:customStyle="true">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styleId="AppendixHeading1" w:customStyle="true">
    <w:name w:val="Appendix Heading 1"/>
    <w:basedOn w:val="Heading1"/>
    <w:uiPriority w:val="99"/>
    <w:semiHidden/>
    <w:rsid w:val="00E1232E"/>
    <w:pPr>
      <w:keepLines/>
      <w:pageBreakBefore/>
      <w:tabs>
        <w:tab w:val="left" w:pos="510"/>
      </w:tabs>
      <w:overflowPunct w:val="false"/>
      <w:autoSpaceDE w:val="false"/>
      <w:autoSpaceDN w:val="false"/>
      <w:adjustRightInd w:val="false"/>
      <w:spacing w:after="0" w:line="240" w:lineRule="auto"/>
    </w:pPr>
    <w:rPr>
      <w:rFonts w:ascii="Arial" w:hAnsi="Arial" w:eastAsia="Times New Roman" w:cs="Arial"/>
      <w:bCs w:val="false"/>
      <w:kern w:val="0"/>
      <w:sz w:val="36"/>
      <w:szCs w:val="20"/>
      <w:lang w:val="en-US" w:eastAsia="en-US"/>
    </w:rPr>
  </w:style>
  <w:style w:type="paragraph" w:styleId="AppendixHeading2" w:customStyle="true">
    <w:name w:val="Appendix Heading 2"/>
    <w:basedOn w:val="Heading2"/>
    <w:uiPriority w:val="99"/>
    <w:semiHidden/>
    <w:rsid w:val="00E1232E"/>
    <w:pPr>
      <w:keepNext w:val="false"/>
      <w:numPr>
        <w:ilvl w:val="1"/>
        <w:numId w:val="15"/>
      </w:numPr>
      <w:tabs>
        <w:tab w:val="left" w:pos="0"/>
        <w:tab w:val="left" w:pos="567"/>
        <w:tab w:val="left" w:pos="794"/>
        <w:tab w:val="left" w:pos="1350"/>
      </w:tabs>
      <w:overflowPunct w:val="false"/>
      <w:autoSpaceDE w:val="false"/>
      <w:autoSpaceDN w:val="false"/>
      <w:adjustRightInd w:val="false"/>
      <w:spacing w:before="360" w:after="0" w:line="240" w:lineRule="atLeast"/>
    </w:pPr>
    <w:rPr>
      <w:rFonts w:ascii="Arial" w:hAnsi="Arial" w:eastAsia="Times New Roman" w:cs="Arial"/>
      <w:bCs w:val="false"/>
      <w:i w:val="false"/>
      <w:iCs w:val="false"/>
      <w:szCs w:val="20"/>
      <w:lang w:val="en-US" w:eastAsia="en-US"/>
    </w:rPr>
  </w:style>
  <w:style w:type="paragraph" w:styleId="ruler5" w:customStyle="true">
    <w:name w:val="ruler 5"/>
    <w:basedOn w:val="Normal"/>
    <w:uiPriority w:val="99"/>
    <w:semiHidden/>
    <w:rsid w:val="00E1232E"/>
    <w:pPr>
      <w:tabs>
        <w:tab w:val="left" w:pos="882"/>
        <w:tab w:val="left" w:pos="1857"/>
        <w:tab w:val="left" w:pos="2831"/>
        <w:tab w:val="left" w:pos="6589"/>
      </w:tabs>
      <w:spacing w:after="0" w:line="240" w:lineRule="auto"/>
    </w:pPr>
    <w:rPr>
      <w:rFonts w:ascii="Times" w:hAnsi="Times" w:eastAsia="Times New Roman"/>
      <w:noProof/>
      <w:color w:val="000000"/>
      <w:sz w:val="20"/>
      <w:szCs w:val="20"/>
      <w:lang w:eastAsia="en-US"/>
    </w:rPr>
  </w:style>
  <w:style w:type="paragraph" w:styleId="Normal1" w:customStyle="true">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hAnsi="Times New Roman" w:eastAsia="Times New Roman"/>
      <w:b/>
      <w:spacing w:val="-3"/>
      <w:szCs w:val="20"/>
      <w:lang w:val="en-GB" w:eastAsia="en-US"/>
    </w:rPr>
  </w:style>
  <w:style w:type="paragraph" w:styleId="BulletLast" w:customStyle="true">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styleId="DecimalAligned" w:customStyle="true">
    <w:name w:val="Decimal Aligned"/>
    <w:basedOn w:val="Normal"/>
    <w:uiPriority w:val="40"/>
    <w:semiHidden/>
    <w:qFormat/>
    <w:rsid w:val="00E1232E"/>
    <w:pPr>
      <w:tabs>
        <w:tab w:val="decimal" w:pos="360"/>
      </w:tabs>
    </w:pPr>
    <w:rPr>
      <w:rFonts w:asciiTheme="minorHAnsi" w:hAnsiTheme="minorHAnsi" w:eastAsia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styleId="xdtextbox1" w:customStyle="true">
    <w:name w:val="xdtextbox1"/>
    <w:basedOn w:val="DefaultParagraphFont"/>
    <w:rsid w:val="00E1232E"/>
    <w:rPr>
      <w:color w:val="auto"/>
      <w:bdr w:val="single" w:color="DCDCDC" w:sz="8" w:space="1" w:frame="true"/>
      <w:shd w:val="clear" w:color="auto" w:fill="FFFFFF"/>
    </w:rPr>
  </w:style>
  <w:style w:type="table" w:styleId="MediumGrid1-Accent3">
    <w:name w:val="Medium Grid 1 Accent 3"/>
    <w:basedOn w:val="TableNormal"/>
    <w:uiPriority w:val="67"/>
    <w:locked/>
    <w:rsid w:val="00E1232E"/>
    <w:rPr>
      <w:rFonts w:ascii="Times New Roman" w:hAnsi="Times New Roman" w:eastAsia="Times New Roman"/>
      <w:sz w:val="20"/>
      <w:szCs w:val="20"/>
    </w:r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hAnsiTheme="minorHAnsi" w:eastAsiaTheme="minorEastAsia" w:cstheme="minorBidi"/>
      <w:sz w:val="22"/>
      <w:szCs w:val="22"/>
      <w:lang w:val="en-US" w:eastAsia="ja-JP"/>
    </w:r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beforeLines="0" w:beforeAutospacing="false" w:after="0" w:afterLines="0" w:afterAutospacing="false"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Accent6">
    <w:name w:val="Medium List 1 Accent 6"/>
    <w:basedOn w:val="TableNormal"/>
    <w:uiPriority w:val="65"/>
    <w:locked/>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List-Accent11" w:customStyle="true">
    <w:name w:val="Light List - Accent 1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4F81BD" w:themeFill="accent1"/>
      </w:tcPr>
    </w:tblStylePr>
    <w:tblStylePr w:type="lastRow">
      <w:pPr>
        <w:spacing w:before="0" w:beforeLines="0" w:beforeAutospacing="false" w:after="0" w:afterLines="0" w:afterAutospacing="false"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ColorfulGrid1" w:customStyle="true">
    <w:name w:val="Colorful Grid1"/>
    <w:basedOn w:val="TableNormal"/>
    <w:uiPriority w:val="73"/>
    <w:rsid w:val="00E1232E"/>
    <w:rPr>
      <w:rFonts w:ascii="Times New Roman" w:hAnsi="Times New Roman" w:eastAsia="Times New Roman"/>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1" w:customStyle="true">
    <w:name w:val="Medium List 11"/>
    <w:basedOn w:val="TableNormal"/>
    <w:uiPriority w:val="65"/>
    <w:rsid w:val="00E1232E"/>
    <w:rPr>
      <w:rFonts w:ascii="Times New Roman" w:hAnsi="Times New Roman" w:eastAsia="Times New Roman"/>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hint="default"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1" w:customStyle="true">
    <w:name w:val="Light List1"/>
    <w:basedOn w:val="TableNormal"/>
    <w:uiPriority w:val="61"/>
    <w:rsid w:val="00E1232E"/>
    <w:rPr>
      <w:rFonts w:ascii="Times New Roman" w:hAnsi="Times New Roman" w:eastAsia="Times New Roman"/>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false" w:after="0" w:afterLines="0" w:afterAutospacing="false" w:line="240" w:lineRule="auto"/>
      </w:pPr>
      <w:rPr>
        <w:b/>
        <w:bCs/>
        <w:color w:val="FFFFFF" w:themeColor="background1"/>
      </w:rPr>
      <w:tblPr/>
      <w:tcPr>
        <w:shd w:val="clear" w:color="auto" w:fill="000000" w:themeFill="text1"/>
      </w:tcPr>
    </w:tblStylePr>
    <w:tblStylePr w:type="lastRow">
      <w:pPr>
        <w:spacing w:before="0" w:beforeLines="0" w:beforeAutospacing="false" w:after="0" w:afterLines="0" w:afterAutospacing="false"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Grid21" w:customStyle="true">
    <w:name w:val="Medium Grid 21"/>
    <w:basedOn w:val="TableNormal"/>
    <w:uiPriority w:val="68"/>
    <w:rsid w:val="00E1232E"/>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styleId="disclaimer" w:customStyle="true">
    <w:name w:val="disclaimer"/>
    <w:basedOn w:val="Normal"/>
    <w:rsid w:val="00575FAB"/>
    <w:pPr>
      <w:spacing w:before="100" w:beforeAutospacing="true" w:after="100" w:afterAutospacing="true"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Arial" w:cs="Times New Roman" w:eastAsia="Calibri" w:hAnsi="Arial"/>
        <w:sz w:val="24"/>
        <w:szCs w:val="24"/>
        <w:lang w:bidi="ar-SA" w:eastAsia="en-AU" w:val="en-AU"/>
      </w:rPr>
    </w:rPrDefault>
    <w:pPrDefault/>
  </w:docDefaults>
  <w:latentStyles w:count="267" w:defLockedState="1" w:defQFormat="0" w:defSemiHidden="1" w:defUIPriority="99" w:defUnhideWhenUsed="1">
    <w:lsdException w:locked="0" w:name="Normal" w:semiHidden="0" w:uiPriority="0" w:unhideWhenUsed="0"/>
    <w:lsdException w:locked="0" w:name="heading 1" w:qFormat="1" w:semiHidden="0" w:uiPriority="0" w:unhideWhenUsed="0"/>
    <w:lsdException w:locked="0" w:name="heading 2" w:qFormat="1" w:uiPriority="0"/>
    <w:lsdException w:locked="0" w:name="heading 3" w:qFormat="1" w:uiPriority="0"/>
    <w:lsdException w:name="heading 4" w:qFormat="1" w:uiPriority="0"/>
    <w:lsdException w:locked="0" w:name="heading 5" w:qFormat="1" w:uiPriority="0"/>
    <w:lsdException w:name="heading 6" w:qFormat="1" w:uiPriority="0"/>
    <w:lsdException w:name="heading 7" w:qFormat="1"/>
    <w:lsdException w:name="heading 8" w:qFormat="1"/>
    <w:lsdException w:name="heading 9" w:qFormat="1"/>
    <w:lsdException w:name="toc 1" w:qFormat="1" w:uiPriority="39"/>
    <w:lsdException w:name="toc 2" w:qFormat="1" w:uiPriority="39"/>
    <w:lsdException w:name="toc 3" w:qFormat="1"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qFormat="1" w:uiPriority="10" w:unhideWhenUsed="0"/>
    <w:lsdException w:locked="0" w:name="Default Paragraph Font" w:uiPriority="1"/>
    <w:lsdException w:locked="0" w:name="Body Text" w:uiPriority="0"/>
    <w:lsdException w:locked="0" w:name="Body Text Indent"/>
    <w:lsdException w:name="Subtitle" w:qFormat="1" w:uiPriority="11" w:unhideWhenUsed="0"/>
    <w:lsdException w:locked="0" w:name="Body Text First Indent"/>
    <w:lsdException w:locked="0" w:name="Body Text First Indent 2"/>
    <w:lsdException w:locked="0" w:name="Body Text 2"/>
    <w:lsdException w:locked="0" w:name="Body Text 3"/>
    <w:lsdException w:name="FollowedHyperlink" w:uiPriority="0"/>
    <w:lsdException w:locked="0" w:name="Strong" w:qFormat="1" w:uiPriority="22" w:unhideWhenUsed="0"/>
    <w:lsdException w:name="Emphasis" w:qFormat="1" w:uiPriority="20" w:unhideWhenUsed="0"/>
    <w:lsdException w:locked="0" w:name="HTML Top of Form"/>
    <w:lsdException w:locked="0" w:name="HTML Bottom of Form"/>
    <w:lsdException w:locked="0" w:name="Normal Table"/>
    <w:lsdException w:locked="0" w:name="No List"/>
    <w:lsdException w:locked="0" w:name="Balloon Text"/>
    <w:lsdException w:locked="0" w:name="Table Grid" w:semiHidden="0" w:uiPriority="59" w:unhideWhenUsed="0"/>
    <w:lsdException w:locked="0" w:name="Placeholder Text" w:unhideWhenUsed="0"/>
    <w:lsdException w:name="No Spacing" w:qFormat="1"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locked="0" w:name="Revision" w:unhideWhenUsed="0"/>
    <w:lsdException w:name="List Paragraph" w:qFormat="1" w:uiPriority="34" w:unhideWhenUsed="0"/>
    <w:lsdException w:name="Quote" w:qFormat="1" w:uiPriority="29" w:unhideWhenUsed="0"/>
    <w:lsdException w:name="Intense Quote" w:qFormat="1"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uiPriority="19" w:unhideWhenUsed="0"/>
    <w:lsdException w:name="Intense Emphasis" w:qFormat="1" w:uiPriority="21" w:unhideWhenUsed="0"/>
    <w:lsdException w:name="Subtle Reference" w:qFormat="1" w:uiPriority="31" w:unhideWhenUsed="0"/>
    <w:lsdException w:name="Intense Reference" w:qFormat="1" w:uiPriority="32" w:unhideWhenUsed="0"/>
    <w:lsdException w:name="Book Title" w:qFormat="1" w:uiPriority="33" w:unhideWhenUsed="0"/>
    <w:lsdException w:name="Bibliography" w:uiPriority="37"/>
    <w:lsdException w:name="TOC Heading" w:qFormat="1" w:uiPriority="39"/>
  </w:latentStyles>
  <w:style w:default="1" w:styleId="Normal" w:type="paragraph">
    <w:name w:val="Normal"/>
    <w:semiHidden/>
    <w:rsid w:val="009459F3"/>
    <w:pPr>
      <w:spacing w:after="200" w:line="276" w:lineRule="auto"/>
    </w:pPr>
  </w:style>
  <w:style w:styleId="Heading1" w:type="paragraph">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after="60" w:before="240"/>
      <w:outlineLvl w:val="0"/>
    </w:pPr>
    <w:rPr>
      <w:rFonts w:asciiTheme="majorHAnsi" w:cstheme="majorBidi" w:eastAsiaTheme="majorEastAsia" w:hAnsiTheme="majorHAnsi"/>
      <w:b/>
      <w:bCs/>
      <w:kern w:val="32"/>
      <w:sz w:val="32"/>
      <w:szCs w:val="32"/>
    </w:rPr>
  </w:style>
  <w:style w:styleId="Heading2" w:type="paragraph">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after="60" w:before="240"/>
      <w:outlineLvl w:val="1"/>
    </w:pPr>
    <w:rPr>
      <w:rFonts w:asciiTheme="majorHAnsi" w:cstheme="majorBidi" w:eastAsiaTheme="majorEastAsia" w:hAnsiTheme="majorHAnsi"/>
      <w:b/>
      <w:bCs/>
      <w:i/>
      <w:iCs/>
      <w:sz w:val="28"/>
      <w:szCs w:val="28"/>
    </w:rPr>
  </w:style>
  <w:style w:styleId="Heading3" w:type="paragraph">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after="60" w:before="240"/>
      <w:outlineLvl w:val="2"/>
    </w:pPr>
    <w:rPr>
      <w:rFonts w:asciiTheme="majorHAnsi" w:cstheme="majorBidi" w:eastAsiaTheme="majorEastAsia" w:hAnsiTheme="majorHAnsi"/>
      <w:b/>
      <w:bCs/>
      <w:sz w:val="26"/>
      <w:szCs w:val="26"/>
    </w:rPr>
  </w:style>
  <w:style w:styleId="Heading4" w:type="paragraph">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aliases w:val="Level 3 - i,5,Normal5,Level 3 - (i)"/>
    <w:basedOn w:val="Heading4"/>
    <w:next w:val="Normal"/>
    <w:link w:val="Heading5Char"/>
    <w:semiHidden/>
    <w:unhideWhenUsed/>
    <w:qFormat/>
    <w:rsid w:val="00E1232E"/>
    <w:pPr>
      <w:keepLines w:val="0"/>
      <w:tabs>
        <w:tab w:pos="1008" w:val="num"/>
      </w:tabs>
      <w:spacing w:after="120" w:before="240" w:line="300" w:lineRule="auto"/>
      <w:ind w:hanging="1008" w:left="1008"/>
      <w:outlineLvl w:val="4"/>
    </w:pPr>
    <w:rPr>
      <w:rFonts w:ascii="Arial" w:cs="Arial" w:eastAsia="Times New Roman" w:hAnsi="Arial"/>
      <w:b w:val="0"/>
      <w:i w:val="0"/>
      <w:iCs w:val="0"/>
      <w:color w:val="auto"/>
      <w:szCs w:val="28"/>
      <w:lang w:eastAsia="en-US"/>
    </w:rPr>
  </w:style>
  <w:style w:styleId="Heading6" w:type="paragraph">
    <w:name w:val="heading 6"/>
    <w:aliases w:val="Legal Level 1.,Body Text 5,Normal6"/>
    <w:basedOn w:val="Heading5"/>
    <w:next w:val="Normal"/>
    <w:link w:val="Heading6Char"/>
    <w:semiHidden/>
    <w:unhideWhenUsed/>
    <w:qFormat/>
    <w:locked/>
    <w:rsid w:val="00E1232E"/>
    <w:pPr>
      <w:tabs>
        <w:tab w:pos="1008" w:val="clear"/>
        <w:tab w:pos="1152" w:val="num"/>
      </w:tabs>
      <w:ind w:hanging="1152" w:left="1152"/>
      <w:outlineLvl w:val="5"/>
    </w:pPr>
  </w:style>
  <w:style w:styleId="Heading7" w:type="paragraph">
    <w:name w:val="heading 7"/>
    <w:aliases w:val="Legal Level 1.1.,Body Text 6,Heading 7(unused),Normal7"/>
    <w:basedOn w:val="Heading6"/>
    <w:next w:val="Normal"/>
    <w:link w:val="Heading7Char"/>
    <w:uiPriority w:val="99"/>
    <w:semiHidden/>
    <w:unhideWhenUsed/>
    <w:qFormat/>
    <w:locked/>
    <w:rsid w:val="00E1232E"/>
    <w:pPr>
      <w:tabs>
        <w:tab w:pos="1152" w:val="clear"/>
        <w:tab w:pos="1296" w:val="num"/>
      </w:tabs>
      <w:ind w:hanging="1296" w:left="1296"/>
      <w:outlineLvl w:val="6"/>
    </w:pPr>
  </w:style>
  <w:style w:styleId="Heading8" w:type="paragraph">
    <w:name w:val="heading 8"/>
    <w:aliases w:val="Legal Level 1.1.1.,Body Text 7,Heading 8(unused),Heading 8 (Start Appendices),Normal8"/>
    <w:basedOn w:val="Heading7"/>
    <w:next w:val="Normal"/>
    <w:link w:val="Heading8Char"/>
    <w:uiPriority w:val="99"/>
    <w:semiHidden/>
    <w:unhideWhenUsed/>
    <w:qFormat/>
    <w:locked/>
    <w:rsid w:val="00E1232E"/>
    <w:pPr>
      <w:tabs>
        <w:tab w:pos="1296" w:val="clear"/>
        <w:tab w:pos="1440" w:val="num"/>
      </w:tabs>
      <w:ind w:hanging="1440" w:left="1440"/>
      <w:outlineLvl w:val="7"/>
    </w:pPr>
  </w:style>
  <w:style w:styleId="Heading9" w:type="paragraph">
    <w:name w:val="heading 9"/>
    <w:aliases w:val="Legal Level 1.1.1.1.,Body Text 8,Heading 9(unused),Appendix"/>
    <w:basedOn w:val="Heading8"/>
    <w:next w:val="Normal"/>
    <w:link w:val="Heading9Char"/>
    <w:uiPriority w:val="99"/>
    <w:semiHidden/>
    <w:unhideWhenUsed/>
    <w:qFormat/>
    <w:locked/>
    <w:rsid w:val="00E1232E"/>
    <w:pPr>
      <w:tabs>
        <w:tab w:pos="1440" w:val="clear"/>
        <w:tab w:pos="1584" w:val="num"/>
      </w:tabs>
      <w:ind w:hanging="1584" w:left="1584"/>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CaselawCoversheet" w:type="paragraph">
    <w:name w:val="Caselaw Coversheet"/>
    <w:basedOn w:val="Normal"/>
    <w:qFormat/>
    <w:rsid w:val="009C6388"/>
    <w:pPr>
      <w:spacing w:after="0" w:line="240" w:lineRule="auto"/>
    </w:pPr>
    <w:rPr>
      <w:rFonts w:cs="Arial"/>
    </w:rPr>
  </w:style>
  <w:style w:customStyle="1" w:styleId="CaselawNormal" w:type="paragraph">
    <w:name w:val="Caselaw Normal"/>
    <w:basedOn w:val="CaselawCoversheet"/>
    <w:uiPriority w:val="6"/>
    <w:qFormat/>
    <w:locked/>
    <w:rsid w:val="007360E8"/>
    <w:pPr>
      <w:spacing w:after="240" w:line="360" w:lineRule="auto"/>
      <w:ind w:left="720"/>
    </w:pPr>
  </w:style>
  <w:style w:customStyle="1" w:styleId="CaselawNumbered10" w:type="paragraph">
    <w:name w:val="Caselaw Numbered 1"/>
    <w:basedOn w:val="CaselawNormal"/>
    <w:uiPriority w:val="5"/>
    <w:qFormat/>
    <w:rsid w:val="007360E8"/>
    <w:pPr>
      <w:numPr>
        <w:numId w:val="1"/>
      </w:numPr>
      <w:ind w:hanging="720" w:left="720"/>
    </w:pPr>
  </w:style>
  <w:style w:customStyle="1" w:styleId="CaselawNumbered1" w:type="paragraph">
    <w:name w:val="Caselaw Numbered (1)"/>
    <w:basedOn w:val="CaselawNumbered10"/>
    <w:qFormat/>
    <w:rsid w:val="000A5273"/>
    <w:pPr>
      <w:numPr>
        <w:numId w:val="2"/>
      </w:numPr>
      <w:spacing w:after="360" w:line="240" w:lineRule="auto"/>
      <w:ind w:hanging="720" w:left="1440"/>
    </w:pPr>
  </w:style>
  <w:style w:customStyle="1" w:styleId="CaselawNumbereda" w:type="paragraph">
    <w:name w:val="Caselaw Numbered (a)"/>
    <w:basedOn w:val="CaselawNumbered1"/>
    <w:qFormat/>
    <w:rsid w:val="006E7434"/>
    <w:pPr>
      <w:numPr>
        <w:numId w:val="3"/>
      </w:numPr>
      <w:ind w:hanging="720" w:left="2160"/>
    </w:pPr>
  </w:style>
  <w:style w:customStyle="1" w:styleId="CaselawNumberedi" w:type="paragraph">
    <w:name w:val="Caselaw Numbered (i)"/>
    <w:basedOn w:val="CaselawNumbereda"/>
    <w:qFormat/>
    <w:rsid w:val="006E7434"/>
    <w:pPr>
      <w:numPr>
        <w:numId w:val="4"/>
      </w:numPr>
      <w:ind w:hanging="720" w:left="2880"/>
    </w:pPr>
  </w:style>
  <w:style w:customStyle="1" w:styleId="CaselawHeading1" w:type="paragraph">
    <w:name w:val="Caselaw Heading 1"/>
    <w:basedOn w:val="CaselawCoversheet"/>
    <w:next w:val="CaselawNumbered10"/>
    <w:uiPriority w:val="1"/>
    <w:qFormat/>
    <w:rsid w:val="00770D05"/>
    <w:pPr>
      <w:spacing w:after="240"/>
      <w:outlineLvl w:val="0"/>
    </w:pPr>
    <w:rPr>
      <w:b/>
      <w:caps/>
      <w:sz w:val="28"/>
    </w:rPr>
  </w:style>
  <w:style w:customStyle="1" w:styleId="CaselawHeading2" w:type="paragraph">
    <w:name w:val="Caselaw Heading 2"/>
    <w:basedOn w:val="CaselawHeading1"/>
    <w:next w:val="CaselawNumbered10"/>
    <w:uiPriority w:val="2"/>
    <w:qFormat/>
    <w:rsid w:val="009459F3"/>
    <w:pPr>
      <w:outlineLvl w:val="1"/>
    </w:pPr>
    <w:rPr>
      <w:caps w:val="0"/>
      <w:sz w:val="24"/>
    </w:rPr>
  </w:style>
  <w:style w:customStyle="1" w:styleId="CaselawHeading3" w:type="paragraph">
    <w:name w:val="Caselaw Heading 3"/>
    <w:basedOn w:val="CaselawHeading1"/>
    <w:next w:val="CaselawNumbered10"/>
    <w:uiPriority w:val="3"/>
    <w:qFormat/>
    <w:rsid w:val="009459F3"/>
    <w:pPr>
      <w:outlineLvl w:val="2"/>
    </w:pPr>
    <w:rPr>
      <w:b w:val="0"/>
      <w:i/>
      <w:caps w:val="0"/>
      <w:sz w:val="24"/>
    </w:rPr>
  </w:style>
  <w:style w:customStyle="1" w:styleId="CaselawQuote" w:type="paragraph">
    <w:name w:val="Caselaw Quote &gt;"/>
    <w:basedOn w:val="CaselawNormal"/>
    <w:qFormat/>
    <w:rsid w:val="00DA03B8"/>
    <w:pPr>
      <w:spacing w:after="360" w:line="240" w:lineRule="auto"/>
    </w:pPr>
    <w:rPr>
      <w:sz w:val="22"/>
    </w:rPr>
  </w:style>
  <w:style w:customStyle="1" w:styleId="CaselawQuote0" w:type="paragraph">
    <w:name w:val="Caselaw Quote &gt;&gt;"/>
    <w:basedOn w:val="CaselawNormal"/>
    <w:qFormat/>
    <w:rsid w:val="000A5273"/>
    <w:pPr>
      <w:spacing w:after="360" w:line="240" w:lineRule="auto"/>
      <w:ind w:left="2160"/>
    </w:pPr>
    <w:rPr>
      <w:sz w:val="22"/>
    </w:rPr>
  </w:style>
  <w:style w:customStyle="1" w:styleId="CaselawQuote1" w:type="paragraph">
    <w:name w:val="Caselaw Quote &gt;&gt;&gt;"/>
    <w:basedOn w:val="CaselawQuote0"/>
    <w:qFormat/>
    <w:rsid w:val="000A5273"/>
    <w:pPr>
      <w:ind w:left="2880"/>
    </w:pPr>
  </w:style>
  <w:style w:customStyle="1" w:styleId="CaselawHeading4" w:type="paragraph">
    <w:name w:val="Caselaw Heading 4"/>
    <w:basedOn w:val="CaselawHeading1"/>
    <w:next w:val="CaselawNumbered10"/>
    <w:uiPriority w:val="4"/>
    <w:qFormat/>
    <w:rsid w:val="009459F3"/>
    <w:pPr>
      <w:ind w:left="720"/>
      <w:outlineLvl w:val="3"/>
    </w:pPr>
    <w:rPr>
      <w:caps w:val="0"/>
      <w:sz w:val="22"/>
    </w:rPr>
  </w:style>
  <w:style w:customStyle="1" w:styleId="Heading1Char" w:type="characte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cstheme="majorBidi" w:eastAsiaTheme="majorEastAsia" w:hAnsiTheme="majorHAnsi"/>
      <w:b/>
      <w:bCs/>
      <w:kern w:val="32"/>
      <w:sz w:val="32"/>
      <w:szCs w:val="32"/>
      <w:lang w:eastAsia="en-US"/>
    </w:rPr>
  </w:style>
  <w:style w:customStyle="1" w:styleId="Heading2Char" w:type="characte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cstheme="majorBidi" w:eastAsiaTheme="majorEastAsia" w:hAnsiTheme="majorHAnsi"/>
      <w:b/>
      <w:bCs/>
      <w:i/>
      <w:iCs/>
      <w:sz w:val="28"/>
      <w:szCs w:val="28"/>
      <w:lang w:eastAsia="en-US"/>
    </w:rPr>
  </w:style>
  <w:style w:customStyle="1" w:styleId="Heading3Char" w:type="characte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cstheme="majorBidi" w:eastAsiaTheme="majorEastAsia" w:hAnsiTheme="majorHAnsi"/>
      <w:b/>
      <w:bCs/>
      <w:sz w:val="26"/>
      <w:szCs w:val="26"/>
      <w:lang w:eastAsia="en-US"/>
    </w:rPr>
  </w:style>
  <w:style w:styleId="TableGrid" w:type="table">
    <w:name w:val="Table Grid"/>
    <w:basedOn w:val="TableNormal"/>
    <w:uiPriority w:val="59"/>
    <w:locked/>
    <w:rsid w:val="002D6852"/>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aselawBullet" w:type="paragraph">
    <w:name w:val="Caselaw Bullet"/>
    <w:basedOn w:val="CaselawNormal"/>
    <w:uiPriority w:val="1"/>
    <w:qFormat/>
    <w:locked/>
    <w:rsid w:val="00F36D30"/>
    <w:pPr>
      <w:numPr>
        <w:numId w:val="5"/>
      </w:numPr>
      <w:spacing w:after="360" w:line="240" w:lineRule="auto"/>
      <w:ind w:hanging="720"/>
    </w:pPr>
  </w:style>
  <w:style w:customStyle="1" w:styleId="CaselawHeading5" w:type="paragraph">
    <w:name w:val="Caselaw Heading 5"/>
    <w:basedOn w:val="CaselawHeading4"/>
    <w:rsid w:val="009459F3"/>
    <w:rPr>
      <w:b w:val="0"/>
      <w:u w:val="single"/>
    </w:rPr>
  </w:style>
  <w:style w:styleId="BalloonText" w:type="paragraph">
    <w:name w:val="Balloon Text"/>
    <w:basedOn w:val="Normal"/>
    <w:link w:val="BalloonTextChar"/>
    <w:uiPriority w:val="99"/>
    <w:semiHidden/>
    <w:unhideWhenUsed/>
    <w:locked/>
    <w:rsid w:val="000A5625"/>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rsid w:val="000A5625"/>
    <w:rPr>
      <w:rFonts w:ascii="Tahoma" w:cs="Tahoma" w:hAnsi="Tahoma"/>
      <w:sz w:val="16"/>
      <w:szCs w:val="16"/>
    </w:rPr>
  </w:style>
  <w:style w:styleId="PlaceholderText" w:type="character">
    <w:name w:val="Placeholder Text"/>
    <w:basedOn w:val="DefaultParagraphFont"/>
    <w:uiPriority w:val="99"/>
    <w:semiHidden/>
    <w:locked/>
    <w:rsid w:val="00B914EB"/>
    <w:rPr>
      <w:color w:val="808080"/>
    </w:rPr>
  </w:style>
  <w:style w:customStyle="1" w:styleId="Style1" w:type="character">
    <w:name w:val="Style1"/>
    <w:basedOn w:val="Strong"/>
    <w:uiPriority w:val="1"/>
    <w:locked/>
    <w:rsid w:val="00C13AF5"/>
    <w:rPr>
      <w:rFonts w:ascii="Arial" w:hAnsi="Arial"/>
      <w:b w:val="0"/>
      <w:bCs/>
      <w:sz w:val="24"/>
    </w:rPr>
  </w:style>
  <w:style w:styleId="Strong" w:type="character">
    <w:name w:val="Strong"/>
    <w:basedOn w:val="DefaultParagraphFont"/>
    <w:uiPriority w:val="22"/>
    <w:semiHidden/>
    <w:qFormat/>
    <w:locked/>
    <w:rsid w:val="00C13AF5"/>
    <w:rPr>
      <w:b/>
      <w:bCs/>
    </w:rPr>
  </w:style>
  <w:style w:styleId="DocumentMap" w:type="paragraph">
    <w:name w:val="Document Map"/>
    <w:basedOn w:val="Normal"/>
    <w:link w:val="DocumentMapChar"/>
    <w:uiPriority w:val="99"/>
    <w:semiHidden/>
    <w:unhideWhenUsed/>
    <w:locked/>
    <w:rsid w:val="00C11B7B"/>
    <w:pPr>
      <w:spacing w:after="0" w:line="240" w:lineRule="auto"/>
    </w:pPr>
    <w:rPr>
      <w:rFonts w:ascii="Lucida Grande" w:hAnsi="Lucida Grande"/>
    </w:rPr>
  </w:style>
  <w:style w:customStyle="1" w:styleId="DocumentMapChar" w:type="character">
    <w:name w:val="Document Map Char"/>
    <w:basedOn w:val="DefaultParagraphFont"/>
    <w:link w:val="DocumentMap"/>
    <w:uiPriority w:val="99"/>
    <w:semiHidden/>
    <w:rsid w:val="00C11B7B"/>
    <w:rPr>
      <w:rFonts w:ascii="Lucida Grande" w:hAnsi="Lucida Grande"/>
    </w:rPr>
  </w:style>
  <w:style w:styleId="NormalWeb" w:type="paragraph">
    <w:name w:val="Normal (Web)"/>
    <w:basedOn w:val="Normal"/>
    <w:uiPriority w:val="99"/>
    <w:semiHidden/>
    <w:unhideWhenUsed/>
    <w:locked/>
    <w:rsid w:val="00677778"/>
    <w:pPr>
      <w:spacing w:after="100" w:afterAutospacing="1" w:before="100" w:beforeAutospacing="1" w:line="240" w:lineRule="auto"/>
    </w:pPr>
    <w:rPr>
      <w:rFonts w:ascii="Times New Roman" w:eastAsia="Times New Roman" w:hAnsi="Times New Roman"/>
    </w:rPr>
  </w:style>
  <w:style w:customStyle="1" w:styleId="judgmentpara" w:type="paragraph">
    <w:name w:val="judgment_para"/>
    <w:basedOn w:val="Normal"/>
    <w:rsid w:val="00677778"/>
    <w:pPr>
      <w:spacing w:after="100" w:afterAutospacing="1" w:before="100" w:beforeAutospacing="1" w:line="240" w:lineRule="auto"/>
    </w:pPr>
    <w:rPr>
      <w:rFonts w:ascii="Times New Roman" w:eastAsia="Times New Roman" w:hAnsi="Times New Roman"/>
    </w:rPr>
  </w:style>
  <w:style w:customStyle="1" w:styleId="listnumber" w:type="character">
    <w:name w:val="list_number_"/>
    <w:basedOn w:val="DefaultParagraphFont"/>
    <w:rsid w:val="00677778"/>
  </w:style>
  <w:style w:customStyle="1" w:styleId="judgmentnumbereda" w:type="paragraph">
    <w:name w:val="judgment_numbered_a_"/>
    <w:basedOn w:val="Normal"/>
    <w:rsid w:val="00B74D80"/>
    <w:pPr>
      <w:spacing w:after="100" w:afterAutospacing="1" w:before="100" w:beforeAutospacing="1" w:line="240" w:lineRule="auto"/>
    </w:pPr>
    <w:rPr>
      <w:rFonts w:ascii="Times New Roman" w:eastAsia="Times New Roman" w:hAnsi="Times New Roman"/>
    </w:rPr>
  </w:style>
  <w:style w:customStyle="1" w:styleId="judgmentnumberedi" w:type="paragraph">
    <w:name w:val="judgment_numbered_i_"/>
    <w:basedOn w:val="Normal"/>
    <w:rsid w:val="00B74D80"/>
    <w:pPr>
      <w:spacing w:after="100" w:afterAutospacing="1" w:before="100" w:beforeAutospacing="1" w:line="240" w:lineRule="auto"/>
    </w:pPr>
    <w:rPr>
      <w:rFonts w:ascii="Times New Roman" w:eastAsia="Times New Roman" w:hAnsi="Times New Roman"/>
    </w:rPr>
  </w:style>
  <w:style w:customStyle="1" w:styleId="Heading4Char" w:type="characte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cstheme="majorBidi" w:eastAsiaTheme="majorEastAsia" w:hAnsiTheme="majorHAnsi"/>
      <w:b/>
      <w:bCs/>
      <w:i/>
      <w:iCs/>
      <w:color w:themeColor="accent1" w:val="4F81BD"/>
    </w:rPr>
  </w:style>
  <w:style w:customStyle="1" w:styleId="Heading5Char" w:type="character">
    <w:name w:val="Heading 5 Char"/>
    <w:aliases w:val="Level 3 - i Char,5 Char,Normal5 Char,Level 3 - (i) Char"/>
    <w:basedOn w:val="DefaultParagraphFont"/>
    <w:link w:val="Heading5"/>
    <w:semiHidden/>
    <w:rsid w:val="00E1232E"/>
    <w:rPr>
      <w:rFonts w:cs="Arial" w:eastAsia="Times New Roman"/>
      <w:bCs/>
      <w:szCs w:val="28"/>
      <w:lang w:eastAsia="en-US"/>
    </w:rPr>
  </w:style>
  <w:style w:customStyle="1" w:styleId="Heading6Char" w:type="character">
    <w:name w:val="Heading 6 Char"/>
    <w:aliases w:val="Legal Level 1. Char,Body Text 5 Char,Normal6 Char"/>
    <w:basedOn w:val="DefaultParagraphFont"/>
    <w:link w:val="Heading6"/>
    <w:semiHidden/>
    <w:rsid w:val="00E1232E"/>
    <w:rPr>
      <w:rFonts w:cs="Arial" w:eastAsia="Times New Roman"/>
      <w:bCs/>
      <w:szCs w:val="28"/>
      <w:lang w:eastAsia="en-US"/>
    </w:rPr>
  </w:style>
  <w:style w:customStyle="1" w:styleId="Heading7Char" w:type="character">
    <w:name w:val="Heading 7 Char"/>
    <w:aliases w:val="Legal Level 1.1. Char,Body Text 6 Char,Heading 7(unused) Char,Normal7 Char"/>
    <w:basedOn w:val="DefaultParagraphFont"/>
    <w:link w:val="Heading7"/>
    <w:uiPriority w:val="99"/>
    <w:semiHidden/>
    <w:rsid w:val="00E1232E"/>
    <w:rPr>
      <w:rFonts w:cs="Arial" w:eastAsia="Times New Roman"/>
      <w:bCs/>
      <w:szCs w:val="28"/>
      <w:lang w:eastAsia="en-US"/>
    </w:rPr>
  </w:style>
  <w:style w:customStyle="1" w:styleId="Heading8Char" w:type="character">
    <w:name w:val="Heading 8 Char"/>
    <w:aliases w:val="Legal Level 1.1.1. Char,Body Text 7 Char,Heading 8(unused) Char,Heading 8 (Start Appendices) Char,Normal8 Char"/>
    <w:basedOn w:val="DefaultParagraphFont"/>
    <w:link w:val="Heading8"/>
    <w:uiPriority w:val="99"/>
    <w:semiHidden/>
    <w:rsid w:val="00E1232E"/>
    <w:rPr>
      <w:rFonts w:cs="Arial" w:eastAsia="Times New Roman"/>
      <w:bCs/>
      <w:szCs w:val="28"/>
      <w:lang w:eastAsia="en-US"/>
    </w:rPr>
  </w:style>
  <w:style w:customStyle="1" w:styleId="Heading9Char" w:type="character">
    <w:name w:val="Heading 9 Char"/>
    <w:aliases w:val="Legal Level 1.1.1.1. Char,Body Text 8 Char,Heading 9(unused) Char,Appendix Char"/>
    <w:basedOn w:val="DefaultParagraphFont"/>
    <w:link w:val="Heading9"/>
    <w:uiPriority w:val="99"/>
    <w:semiHidden/>
    <w:rsid w:val="00E1232E"/>
    <w:rPr>
      <w:rFonts w:cs="Arial" w:eastAsia="Times New Roman"/>
      <w:bCs/>
      <w:szCs w:val="28"/>
      <w:lang w:eastAsia="en-US"/>
    </w:rPr>
  </w:style>
  <w:style w:styleId="Hyperlink" w:type="character">
    <w:name w:val="Hyperlink"/>
    <w:basedOn w:val="DefaultParagraphFont"/>
    <w:uiPriority w:val="99"/>
    <w:unhideWhenUsed/>
    <w:locked/>
    <w:rsid w:val="00E1232E"/>
    <w:rPr>
      <w:color w:val="0000FF"/>
      <w:u w:val="single"/>
    </w:rPr>
  </w:style>
  <w:style w:styleId="FollowedHyperlink" w:type="character">
    <w:name w:val="FollowedHyperlink"/>
    <w:basedOn w:val="DefaultParagraphFont"/>
    <w:semiHidden/>
    <w:unhideWhenUsed/>
    <w:locked/>
    <w:rsid w:val="00E1232E"/>
    <w:rPr>
      <w:color w:val="800080"/>
      <w:u w:val="single"/>
    </w:rPr>
  </w:style>
  <w:style w:customStyle="1" w:styleId="Heading1Char1" w:type="character">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cstheme="majorBidi" w:eastAsiaTheme="majorEastAsia" w:hAnsiTheme="majorHAnsi"/>
      <w:b/>
      <w:bCs/>
      <w:color w:themeColor="accent1" w:themeShade="BF" w:val="365F91"/>
      <w:sz w:val="28"/>
      <w:szCs w:val="28"/>
      <w:lang w:eastAsia="en-US"/>
    </w:rPr>
  </w:style>
  <w:style w:customStyle="1" w:styleId="Heading2Char1" w:type="character">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cstheme="majorBidi" w:eastAsiaTheme="majorEastAsia" w:hAnsiTheme="majorHAnsi"/>
      <w:b/>
      <w:bCs/>
      <w:color w:themeColor="accent1" w:val="4F81BD"/>
      <w:sz w:val="26"/>
      <w:szCs w:val="26"/>
      <w:lang w:eastAsia="en-US"/>
    </w:rPr>
  </w:style>
  <w:style w:customStyle="1" w:styleId="Heading3Char1" w:type="character">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cstheme="majorBidi" w:eastAsiaTheme="majorEastAsia" w:hAnsiTheme="majorHAnsi"/>
      <w:b/>
      <w:bCs/>
      <w:color w:themeColor="accent1" w:val="4F81BD"/>
      <w:lang w:eastAsia="en-US"/>
    </w:rPr>
  </w:style>
  <w:style w:customStyle="1" w:styleId="Heading4Char1" w:type="character">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cstheme="majorBidi" w:eastAsiaTheme="majorEastAsia" w:hAnsiTheme="majorHAnsi"/>
      <w:b/>
      <w:bCs/>
      <w:i/>
      <w:iCs/>
      <w:color w:themeColor="accent1" w:val="4F81BD"/>
      <w:lang w:eastAsia="en-US"/>
    </w:rPr>
  </w:style>
  <w:style w:customStyle="1" w:styleId="Heading5Char1" w:type="character">
    <w:name w:val="Heading 5 Char1"/>
    <w:aliases w:val="Level 3 - i Char1,5 Char1,Normal5 Char1,Level 3 - (i) Char1"/>
    <w:basedOn w:val="DefaultParagraphFont"/>
    <w:semiHidden/>
    <w:rsid w:val="00E1232E"/>
    <w:rPr>
      <w:rFonts w:asciiTheme="majorHAnsi" w:cstheme="majorBidi" w:eastAsiaTheme="majorEastAsia" w:hAnsiTheme="majorHAnsi"/>
      <w:color w:themeColor="accent1" w:themeShade="7F" w:val="243F60"/>
      <w:lang w:eastAsia="en-US"/>
    </w:rPr>
  </w:style>
  <w:style w:customStyle="1" w:styleId="Heading6Char1" w:type="character">
    <w:name w:val="Heading 6 Char1"/>
    <w:aliases w:val="Legal Level 1. Char1,Body Text 5 Char1,Normal6 Char1"/>
    <w:basedOn w:val="DefaultParagraphFont"/>
    <w:semiHidden/>
    <w:rsid w:val="00E1232E"/>
    <w:rPr>
      <w:rFonts w:asciiTheme="majorHAnsi" w:cstheme="majorBidi" w:eastAsiaTheme="majorEastAsia" w:hAnsiTheme="majorHAnsi"/>
      <w:i/>
      <w:iCs/>
      <w:color w:themeColor="accent1" w:themeShade="7F" w:val="243F60"/>
      <w:lang w:eastAsia="en-US"/>
    </w:rPr>
  </w:style>
  <w:style w:customStyle="1" w:styleId="Heading7Char1" w:type="character">
    <w:name w:val="Heading 7 Char1"/>
    <w:aliases w:val="Legal Level 1.1. Char1,Body Text 6 Char1,Heading 7(unused) Char1,Normal7 Char1"/>
    <w:basedOn w:val="DefaultParagraphFont"/>
    <w:semiHidden/>
    <w:rsid w:val="00E1232E"/>
    <w:rPr>
      <w:rFonts w:asciiTheme="majorHAnsi" w:cstheme="majorBidi" w:eastAsiaTheme="majorEastAsia" w:hAnsiTheme="majorHAnsi"/>
      <w:i/>
      <w:iCs/>
      <w:color w:themeColor="text1" w:themeTint="BF" w:val="404040"/>
      <w:lang w:eastAsia="en-US"/>
    </w:rPr>
  </w:style>
  <w:style w:customStyle="1" w:styleId="Heading8Char1" w:type="character">
    <w:name w:val="Heading 8 Char1"/>
    <w:aliases w:val="Legal Level 1.1.1. Char1,Body Text 7 Char1,Heading 8(unused) Char1,Heading 8 (Start Appendices) Char1,Normal8 Char1"/>
    <w:basedOn w:val="DefaultParagraphFont"/>
    <w:semiHidden/>
    <w:rsid w:val="00E1232E"/>
    <w:rPr>
      <w:rFonts w:asciiTheme="majorHAnsi" w:cstheme="majorBidi" w:eastAsiaTheme="majorEastAsia" w:hAnsiTheme="majorHAnsi"/>
      <w:color w:themeColor="text1" w:themeTint="BF" w:val="404040"/>
      <w:lang w:eastAsia="en-US"/>
    </w:rPr>
  </w:style>
  <w:style w:customStyle="1" w:styleId="Heading9Char1" w:type="character">
    <w:name w:val="Heading 9 Char1"/>
    <w:aliases w:val="Legal Level 1.1.1.1. Char1,Body Text 8 Char1,Heading 9(unused) Char1,Appendix Char1"/>
    <w:basedOn w:val="DefaultParagraphFont"/>
    <w:semiHidden/>
    <w:rsid w:val="00E1232E"/>
    <w:rPr>
      <w:rFonts w:asciiTheme="majorHAnsi" w:cstheme="majorBidi" w:eastAsiaTheme="majorEastAsia" w:hAnsiTheme="majorHAnsi"/>
      <w:i/>
      <w:iCs/>
      <w:color w:themeColor="text1" w:themeTint="BF" w:val="404040"/>
      <w:lang w:eastAsia="en-US"/>
    </w:rPr>
  </w:style>
  <w:style w:styleId="Index1" w:type="paragraph">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styleId="Index2" w:type="paragraph">
    <w:name w:val="index 2"/>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480"/>
      <w:jc w:val="both"/>
    </w:pPr>
    <w:rPr>
      <w:rFonts w:ascii="Times New Roman" w:eastAsia="Times New Roman" w:hAnsi="Times New Roman"/>
      <w:szCs w:val="20"/>
      <w:lang w:eastAsia="en-US"/>
    </w:rPr>
  </w:style>
  <w:style w:styleId="Index3" w:type="paragraph">
    <w:name w:val="index 3"/>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720"/>
      <w:jc w:val="both"/>
    </w:pPr>
    <w:rPr>
      <w:rFonts w:ascii="Times New Roman" w:eastAsia="Times New Roman" w:hAnsi="Times New Roman"/>
      <w:szCs w:val="20"/>
      <w:lang w:eastAsia="en-US"/>
    </w:rPr>
  </w:style>
  <w:style w:styleId="Index4" w:type="paragraph">
    <w:name w:val="index 4"/>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960"/>
      <w:jc w:val="both"/>
    </w:pPr>
    <w:rPr>
      <w:rFonts w:ascii="Times New Roman" w:eastAsia="Times New Roman" w:hAnsi="Times New Roman"/>
      <w:szCs w:val="20"/>
      <w:lang w:eastAsia="en-US"/>
    </w:rPr>
  </w:style>
  <w:style w:styleId="Index5" w:type="paragraph">
    <w:name w:val="index 5"/>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200"/>
      <w:jc w:val="both"/>
    </w:pPr>
    <w:rPr>
      <w:rFonts w:ascii="Times New Roman" w:eastAsia="Times New Roman" w:hAnsi="Times New Roman"/>
      <w:szCs w:val="20"/>
      <w:lang w:eastAsia="en-US"/>
    </w:rPr>
  </w:style>
  <w:style w:styleId="Index6" w:type="paragraph">
    <w:name w:val="index 6"/>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440"/>
      <w:jc w:val="both"/>
    </w:pPr>
    <w:rPr>
      <w:rFonts w:ascii="Times New Roman" w:eastAsia="Times New Roman" w:hAnsi="Times New Roman"/>
      <w:szCs w:val="20"/>
      <w:lang w:eastAsia="en-US"/>
    </w:rPr>
  </w:style>
  <w:style w:styleId="Index7" w:type="paragraph">
    <w:name w:val="index 7"/>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680"/>
      <w:jc w:val="both"/>
    </w:pPr>
    <w:rPr>
      <w:rFonts w:ascii="Times New Roman" w:eastAsia="Times New Roman" w:hAnsi="Times New Roman"/>
      <w:szCs w:val="20"/>
      <w:lang w:eastAsia="en-US"/>
    </w:rPr>
  </w:style>
  <w:style w:styleId="Index8" w:type="paragraph">
    <w:name w:val="index 8"/>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1920"/>
      <w:jc w:val="both"/>
    </w:pPr>
    <w:rPr>
      <w:rFonts w:ascii="Times New Roman" w:eastAsia="Times New Roman" w:hAnsi="Times New Roman"/>
      <w:szCs w:val="20"/>
      <w:lang w:eastAsia="en-US"/>
    </w:rPr>
  </w:style>
  <w:style w:styleId="Index9" w:type="paragraph">
    <w:name w:val="index 9"/>
    <w:basedOn w:val="Normal"/>
    <w:next w:val="Normal"/>
    <w:autoRedefine/>
    <w:uiPriority w:val="99"/>
    <w:semiHidden/>
    <w:unhideWhenUsed/>
    <w:locked/>
    <w:rsid w:val="00E1232E"/>
    <w:pPr>
      <w:keepLines/>
      <w:overflowPunct w:val="0"/>
      <w:autoSpaceDE w:val="0"/>
      <w:autoSpaceDN w:val="0"/>
      <w:adjustRightInd w:val="0"/>
      <w:spacing w:after="0" w:before="240" w:line="240" w:lineRule="auto"/>
      <w:ind w:hanging="240" w:left="2160"/>
      <w:jc w:val="both"/>
    </w:pPr>
    <w:rPr>
      <w:rFonts w:ascii="Times New Roman" w:eastAsia="Times New Roman" w:hAnsi="Times New Roman"/>
      <w:szCs w:val="20"/>
      <w:lang w:eastAsia="en-US"/>
    </w:rPr>
  </w:style>
  <w:style w:styleId="TOC1" w:type="paragraph">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styleId="TOC2" w:type="paragraph">
    <w:name w:val="toc 2"/>
    <w:basedOn w:val="TOC1"/>
    <w:next w:val="Normal"/>
    <w:autoRedefine/>
    <w:uiPriority w:val="39"/>
    <w:semiHidden/>
    <w:unhideWhenUsed/>
    <w:qFormat/>
    <w:locked/>
    <w:rsid w:val="00E1232E"/>
    <w:pPr>
      <w:ind w:left="454"/>
    </w:pPr>
    <w:rPr>
      <w:b w:val="0"/>
    </w:rPr>
  </w:style>
  <w:style w:styleId="TOC3" w:type="paragraph">
    <w:name w:val="toc 3"/>
    <w:basedOn w:val="TOC2"/>
    <w:next w:val="Normal"/>
    <w:autoRedefine/>
    <w:uiPriority w:val="39"/>
    <w:semiHidden/>
    <w:unhideWhenUsed/>
    <w:qFormat/>
    <w:locked/>
    <w:rsid w:val="00E1232E"/>
    <w:pPr>
      <w:spacing w:before="120"/>
    </w:pPr>
  </w:style>
  <w:style w:styleId="TOC4" w:type="paragraph">
    <w:name w:val="toc 4"/>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line="240" w:lineRule="auto"/>
      <w:ind w:left="720"/>
      <w:jc w:val="both"/>
    </w:pPr>
    <w:rPr>
      <w:rFonts w:eastAsia="Times New Roman"/>
      <w:sz w:val="20"/>
      <w:szCs w:val="20"/>
      <w:lang w:eastAsia="en-US"/>
    </w:rPr>
  </w:style>
  <w:style w:styleId="TOC5" w:type="paragraph">
    <w:name w:val="toc 5"/>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960"/>
      <w:jc w:val="both"/>
    </w:pPr>
    <w:rPr>
      <w:rFonts w:eastAsia="Times New Roman"/>
      <w:szCs w:val="20"/>
      <w:lang w:eastAsia="en-US"/>
    </w:rPr>
  </w:style>
  <w:style w:styleId="TOC6" w:type="paragraph">
    <w:name w:val="toc 6"/>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200"/>
      <w:jc w:val="both"/>
    </w:pPr>
    <w:rPr>
      <w:rFonts w:ascii="Times New Roman" w:eastAsia="Times New Roman" w:hAnsi="Times New Roman"/>
      <w:szCs w:val="20"/>
      <w:lang w:eastAsia="en-US"/>
    </w:rPr>
  </w:style>
  <w:style w:styleId="TOC7" w:type="paragraph">
    <w:name w:val="toc 7"/>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440"/>
      <w:jc w:val="both"/>
    </w:pPr>
    <w:rPr>
      <w:rFonts w:ascii="Times New Roman" w:eastAsia="Times New Roman" w:hAnsi="Times New Roman"/>
      <w:szCs w:val="20"/>
      <w:lang w:eastAsia="en-US"/>
    </w:rPr>
  </w:style>
  <w:style w:styleId="TOC8" w:type="paragraph">
    <w:name w:val="toc 8"/>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680"/>
      <w:jc w:val="both"/>
    </w:pPr>
    <w:rPr>
      <w:rFonts w:ascii="Times New Roman" w:eastAsia="Times New Roman" w:hAnsi="Times New Roman"/>
      <w:szCs w:val="20"/>
      <w:lang w:eastAsia="en-US"/>
    </w:rPr>
  </w:style>
  <w:style w:styleId="TOC9" w:type="paragraph">
    <w:name w:val="toc 9"/>
    <w:basedOn w:val="Normal"/>
    <w:next w:val="Normal"/>
    <w:autoRedefine/>
    <w:uiPriority w:val="39"/>
    <w:semiHidden/>
    <w:unhideWhenUsed/>
    <w:locked/>
    <w:rsid w:val="00E1232E"/>
    <w:pPr>
      <w:keepLines/>
      <w:tabs>
        <w:tab w:leader="dot" w:pos="9071" w:val="right"/>
      </w:tabs>
      <w:overflowPunct w:val="0"/>
      <w:autoSpaceDE w:val="0"/>
      <w:autoSpaceDN w:val="0"/>
      <w:adjustRightInd w:val="0"/>
      <w:spacing w:after="0" w:before="240" w:line="240" w:lineRule="auto"/>
      <w:ind w:left="1920"/>
      <w:jc w:val="both"/>
    </w:pPr>
    <w:rPr>
      <w:rFonts w:ascii="Times New Roman" w:eastAsia="Times New Roman" w:hAnsi="Times New Roman"/>
      <w:szCs w:val="20"/>
      <w:lang w:eastAsia="en-US"/>
    </w:rPr>
  </w:style>
  <w:style w:styleId="FootnoteText" w:type="paragraph">
    <w:name w:val="footnote text"/>
    <w:basedOn w:val="Normal"/>
    <w:link w:val="FootnoteTextChar"/>
    <w:uiPriority w:val="99"/>
    <w:unhideWhenUsed/>
    <w:locked/>
    <w:rsid w:val="00E1232E"/>
    <w:pPr>
      <w:spacing w:after="0" w:line="240" w:lineRule="auto"/>
    </w:pPr>
    <w:rPr>
      <w:rFonts w:asciiTheme="minorHAnsi" w:cstheme="minorBidi" w:eastAsiaTheme="minorEastAsia" w:hAnsiTheme="minorHAnsi"/>
      <w:sz w:val="20"/>
      <w:szCs w:val="20"/>
      <w:lang w:eastAsia="ja-JP" w:val="en-US"/>
    </w:rPr>
  </w:style>
  <w:style w:customStyle="1" w:styleId="FootnoteTextChar" w:type="character">
    <w:name w:val="Footnote Text Char"/>
    <w:basedOn w:val="DefaultParagraphFont"/>
    <w:link w:val="FootnoteText"/>
    <w:uiPriority w:val="99"/>
    <w:rsid w:val="00E1232E"/>
    <w:rPr>
      <w:rFonts w:asciiTheme="minorHAnsi" w:cstheme="minorBidi" w:eastAsiaTheme="minorEastAsia" w:hAnsiTheme="minorHAnsi"/>
      <w:sz w:val="20"/>
      <w:szCs w:val="20"/>
      <w:lang w:eastAsia="ja-JP" w:val="en-US"/>
    </w:rPr>
  </w:style>
  <w:style w:styleId="CommentText" w:type="paragraph">
    <w:name w:val="annotation text"/>
    <w:basedOn w:val="Normal"/>
    <w:link w:val="CommentTextChar"/>
    <w:uiPriority w:val="99"/>
    <w:semiHidden/>
    <w:unhideWhenUsed/>
    <w:locked/>
    <w:rsid w:val="00E1232E"/>
    <w:pPr>
      <w:spacing w:after="120" w:before="240" w:line="300" w:lineRule="auto"/>
    </w:pPr>
    <w:rPr>
      <w:rFonts w:eastAsia="Times New Roman"/>
      <w:sz w:val="20"/>
      <w:szCs w:val="20"/>
      <w:lang w:eastAsia="en-US"/>
    </w:rPr>
  </w:style>
  <w:style w:customStyle="1" w:styleId="CommentTextChar" w:type="character">
    <w:name w:val="Comment Text Char"/>
    <w:basedOn w:val="DefaultParagraphFont"/>
    <w:link w:val="CommentText"/>
    <w:uiPriority w:val="99"/>
    <w:semiHidden/>
    <w:rsid w:val="00E1232E"/>
    <w:rPr>
      <w:rFonts w:eastAsia="Times New Roman"/>
      <w:sz w:val="20"/>
      <w:szCs w:val="20"/>
      <w:lang w:eastAsia="en-US"/>
    </w:rPr>
  </w:style>
  <w:style w:styleId="Header" w:type="paragraph">
    <w:name w:val="header"/>
    <w:basedOn w:val="Normal"/>
    <w:link w:val="Head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HeaderChar" w:type="character">
    <w:name w:val="Header Char"/>
    <w:basedOn w:val="DefaultParagraphFont"/>
    <w:link w:val="Header"/>
    <w:uiPriority w:val="99"/>
    <w:semiHidden/>
    <w:rsid w:val="00E1232E"/>
    <w:rPr>
      <w:rFonts w:eastAsia="Times New Roman"/>
      <w:sz w:val="20"/>
      <w:szCs w:val="20"/>
      <w:lang w:eastAsia="en-US"/>
    </w:rPr>
  </w:style>
  <w:style w:styleId="Footer" w:type="paragraph">
    <w:name w:val="footer"/>
    <w:basedOn w:val="Normal"/>
    <w:link w:val="FooterChar"/>
    <w:uiPriority w:val="99"/>
    <w:semiHidden/>
    <w:unhideWhenUsed/>
    <w:locked/>
    <w:rsid w:val="00E1232E"/>
    <w:pPr>
      <w:tabs>
        <w:tab w:pos="4153" w:val="center"/>
        <w:tab w:pos="8306" w:val="right"/>
      </w:tabs>
      <w:spacing w:after="120" w:before="240" w:line="300" w:lineRule="auto"/>
    </w:pPr>
    <w:rPr>
      <w:rFonts w:eastAsia="Times New Roman"/>
      <w:sz w:val="20"/>
      <w:szCs w:val="20"/>
      <w:lang w:eastAsia="en-US"/>
    </w:rPr>
  </w:style>
  <w:style w:customStyle="1" w:styleId="FooterChar" w:type="character">
    <w:name w:val="Footer Char"/>
    <w:basedOn w:val="DefaultParagraphFont"/>
    <w:link w:val="Footer"/>
    <w:uiPriority w:val="99"/>
    <w:semiHidden/>
    <w:rsid w:val="00E1232E"/>
    <w:rPr>
      <w:rFonts w:eastAsia="Times New Roman"/>
      <w:sz w:val="20"/>
      <w:szCs w:val="20"/>
      <w:lang w:eastAsia="en-US"/>
    </w:rPr>
  </w:style>
  <w:style w:styleId="IndexHeading" w:type="paragraph">
    <w:name w:val="index heading"/>
    <w:basedOn w:val="Normal"/>
    <w:next w:val="Index1"/>
    <w:uiPriority w:val="99"/>
    <w:unhideWhenUsed/>
    <w:locked/>
    <w:rsid w:val="00E1232E"/>
    <w:pPr>
      <w:keepLines/>
      <w:overflowPunct w:val="0"/>
      <w:autoSpaceDE w:val="0"/>
      <w:autoSpaceDN w:val="0"/>
      <w:adjustRightInd w:val="0"/>
      <w:spacing w:after="0" w:before="240" w:line="240" w:lineRule="auto"/>
      <w:jc w:val="both"/>
    </w:pPr>
    <w:rPr>
      <w:rFonts w:ascii="Times New Roman" w:eastAsia="Times New Roman" w:hAnsi="Times New Roman"/>
      <w:szCs w:val="20"/>
      <w:lang w:eastAsia="en-US"/>
    </w:rPr>
  </w:style>
  <w:style w:styleId="Caption" w:type="paragraph">
    <w:name w:val="caption"/>
    <w:basedOn w:val="Normal"/>
    <w:next w:val="Normal"/>
    <w:uiPriority w:val="99"/>
    <w:semiHidden/>
    <w:unhideWhenUsed/>
    <w:qFormat/>
    <w:locked/>
    <w:rsid w:val="00E1232E"/>
    <w:pPr>
      <w:keepLines/>
      <w:tabs>
        <w:tab w:pos="1134" w:val="left"/>
      </w:tabs>
      <w:overflowPunct w:val="0"/>
      <w:autoSpaceDE w:val="0"/>
      <w:autoSpaceDN w:val="0"/>
      <w:adjustRightInd w:val="0"/>
      <w:spacing w:after="0" w:before="240" w:line="240" w:lineRule="auto"/>
      <w:ind w:left="567"/>
      <w:jc w:val="center"/>
    </w:pPr>
    <w:rPr>
      <w:rFonts w:ascii="Times New Roman" w:eastAsia="Times New Roman" w:hAnsi="Times New Roman"/>
      <w:i/>
      <w:iCs/>
      <w:sz w:val="20"/>
      <w:szCs w:val="20"/>
      <w:lang w:eastAsia="en-US"/>
    </w:rPr>
  </w:style>
  <w:style w:styleId="ListBullet" w:type="paragraph">
    <w:name w:val="List Bullet"/>
    <w:basedOn w:val="Normal"/>
    <w:uiPriority w:val="99"/>
    <w:semiHidden/>
    <w:unhideWhenUsed/>
    <w:locked/>
    <w:rsid w:val="00E1232E"/>
    <w:pPr>
      <w:numPr>
        <w:numId w:val="7"/>
      </w:numPr>
      <w:spacing w:after="60" w:before="60" w:line="300" w:lineRule="auto"/>
    </w:pPr>
    <w:rPr>
      <w:rFonts w:ascii="Arial(W1)" w:eastAsia="Times New Roman" w:hAnsi="Arial(W1)"/>
      <w:sz w:val="20"/>
      <w:szCs w:val="22"/>
      <w:lang w:eastAsia="en-US"/>
    </w:rPr>
  </w:style>
  <w:style w:customStyle="1" w:styleId="BodyTextChar" w:type="characte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styleId="BodyText" w:type="paragraph">
    <w:name w:val="Body Text"/>
    <w:aliases w:val="bt,Heading 3 text,Heading 3 text1,Heading 3 text2,Heading 3 text3,Heading 3 text4"/>
    <w:basedOn w:val="Normal"/>
    <w:link w:val="BodyTextChar"/>
    <w:unhideWhenUsed/>
    <w:rsid w:val="00E1232E"/>
    <w:pPr>
      <w:spacing w:after="120" w:before="240" w:line="300" w:lineRule="auto"/>
    </w:pPr>
    <w:rPr>
      <w:rFonts w:cs="Arial"/>
      <w:lang w:eastAsia="en-US"/>
    </w:rPr>
  </w:style>
  <w:style w:customStyle="1" w:styleId="BodyTextChar1" w:type="character">
    <w:name w:val="Body Text Char1"/>
    <w:aliases w:val="bt Char1,Heading 3 text Char1,Heading 3 text1 Char1,Heading 3 text2 Char1,Heading 3 text3 Char1,Heading 3 text4 Char1"/>
    <w:basedOn w:val="DefaultParagraphFont"/>
    <w:semiHidden/>
    <w:rsid w:val="00E1232E"/>
  </w:style>
  <w:style w:styleId="BodyTextIndent" w:type="paragraph">
    <w:name w:val="Body Text Indent"/>
    <w:basedOn w:val="Normal"/>
    <w:link w:val="BodyTextIndentChar"/>
    <w:uiPriority w:val="99"/>
    <w:semiHidden/>
    <w:unhideWhenUsed/>
    <w:rsid w:val="00E1232E"/>
    <w:pPr>
      <w:spacing w:after="120" w:before="240" w:line="300" w:lineRule="auto"/>
      <w:ind w:left="283"/>
    </w:pPr>
    <w:rPr>
      <w:rFonts w:eastAsia="Times New Roman"/>
      <w:sz w:val="20"/>
      <w:szCs w:val="20"/>
      <w:lang w:eastAsia="en-US"/>
    </w:rPr>
  </w:style>
  <w:style w:customStyle="1" w:styleId="BodyTextIndentChar" w:type="character">
    <w:name w:val="Body Text Indent Char"/>
    <w:basedOn w:val="DefaultParagraphFont"/>
    <w:link w:val="BodyTextIndent"/>
    <w:uiPriority w:val="99"/>
    <w:semiHidden/>
    <w:rsid w:val="00E1232E"/>
    <w:rPr>
      <w:rFonts w:eastAsia="Times New Roman"/>
      <w:sz w:val="20"/>
      <w:szCs w:val="20"/>
      <w:lang w:eastAsia="en-US"/>
    </w:rPr>
  </w:style>
  <w:style w:styleId="BodyText2" w:type="paragraph">
    <w:name w:val="Body Text 2"/>
    <w:basedOn w:val="Normal"/>
    <w:link w:val="BodyText2Char"/>
    <w:uiPriority w:val="99"/>
    <w:semiHidden/>
    <w:unhideWhenUsed/>
    <w:rsid w:val="00E1232E"/>
    <w:pPr>
      <w:spacing w:after="120" w:before="240" w:line="480" w:lineRule="auto"/>
    </w:pPr>
    <w:rPr>
      <w:rFonts w:eastAsia="Times New Roman"/>
      <w:sz w:val="20"/>
      <w:szCs w:val="20"/>
      <w:lang w:eastAsia="en-US"/>
    </w:rPr>
  </w:style>
  <w:style w:customStyle="1" w:styleId="BodyText2Char" w:type="character">
    <w:name w:val="Body Text 2 Char"/>
    <w:basedOn w:val="DefaultParagraphFont"/>
    <w:link w:val="BodyText2"/>
    <w:uiPriority w:val="99"/>
    <w:semiHidden/>
    <w:rsid w:val="00E1232E"/>
    <w:rPr>
      <w:rFonts w:eastAsia="Times New Roman"/>
      <w:sz w:val="20"/>
      <w:szCs w:val="20"/>
      <w:lang w:eastAsia="en-US"/>
    </w:rPr>
  </w:style>
  <w:style w:styleId="BodyText3" w:type="paragraph">
    <w:name w:val="Body Text 3"/>
    <w:basedOn w:val="Normal"/>
    <w:link w:val="BodyText3Char"/>
    <w:uiPriority w:val="99"/>
    <w:semiHidden/>
    <w:unhideWhenUsed/>
    <w:rsid w:val="00E1232E"/>
    <w:pPr>
      <w:spacing w:after="120" w:before="240" w:line="300" w:lineRule="auto"/>
    </w:pPr>
    <w:rPr>
      <w:rFonts w:eastAsia="Times New Roman"/>
      <w:sz w:val="16"/>
      <w:szCs w:val="16"/>
      <w:lang w:eastAsia="en-US"/>
    </w:rPr>
  </w:style>
  <w:style w:customStyle="1" w:styleId="BodyText3Char" w:type="character">
    <w:name w:val="Body Text 3 Char"/>
    <w:basedOn w:val="DefaultParagraphFont"/>
    <w:link w:val="BodyText3"/>
    <w:uiPriority w:val="99"/>
    <w:semiHidden/>
    <w:rsid w:val="00E1232E"/>
    <w:rPr>
      <w:rFonts w:eastAsia="Times New Roman"/>
      <w:sz w:val="16"/>
      <w:szCs w:val="16"/>
      <w:lang w:eastAsia="en-US"/>
    </w:rPr>
  </w:style>
  <w:style w:styleId="BodyTextIndent2" w:type="paragraph">
    <w:name w:val="Body Text Indent 2"/>
    <w:basedOn w:val="Normal"/>
    <w:link w:val="BodyTextIndent2Char"/>
    <w:uiPriority w:val="99"/>
    <w:unhideWhenUsed/>
    <w:locked/>
    <w:rsid w:val="00E1232E"/>
    <w:pPr>
      <w:spacing w:after="120" w:before="240" w:line="480" w:lineRule="auto"/>
      <w:ind w:left="283"/>
    </w:pPr>
    <w:rPr>
      <w:rFonts w:eastAsia="Times New Roman"/>
      <w:sz w:val="20"/>
      <w:szCs w:val="20"/>
      <w:lang w:eastAsia="en-US"/>
    </w:rPr>
  </w:style>
  <w:style w:customStyle="1" w:styleId="BodyTextIndent2Char" w:type="character">
    <w:name w:val="Body Text Indent 2 Char"/>
    <w:basedOn w:val="DefaultParagraphFont"/>
    <w:link w:val="BodyTextIndent2"/>
    <w:uiPriority w:val="99"/>
    <w:rsid w:val="00E1232E"/>
    <w:rPr>
      <w:rFonts w:eastAsia="Times New Roman"/>
      <w:sz w:val="20"/>
      <w:szCs w:val="20"/>
      <w:lang w:eastAsia="en-US"/>
    </w:rPr>
  </w:style>
  <w:style w:styleId="BodyTextIndent3" w:type="paragraph">
    <w:name w:val="Body Text Indent 3"/>
    <w:basedOn w:val="Normal"/>
    <w:link w:val="BodyTextIndent3Char"/>
    <w:uiPriority w:val="99"/>
    <w:semiHidden/>
    <w:unhideWhenUsed/>
    <w:locked/>
    <w:rsid w:val="00E1232E"/>
    <w:pPr>
      <w:spacing w:after="120" w:before="240" w:line="300" w:lineRule="auto"/>
      <w:ind w:left="283"/>
    </w:pPr>
    <w:rPr>
      <w:rFonts w:eastAsia="Times New Roman"/>
      <w:sz w:val="16"/>
      <w:szCs w:val="16"/>
      <w:lang w:eastAsia="en-US"/>
    </w:rPr>
  </w:style>
  <w:style w:customStyle="1" w:styleId="BodyTextIndent3Char" w:type="character">
    <w:name w:val="Body Text Indent 3 Char"/>
    <w:basedOn w:val="DefaultParagraphFont"/>
    <w:link w:val="BodyTextIndent3"/>
    <w:uiPriority w:val="99"/>
    <w:semiHidden/>
    <w:rsid w:val="00E1232E"/>
    <w:rPr>
      <w:rFonts w:eastAsia="Times New Roman"/>
      <w:sz w:val="16"/>
      <w:szCs w:val="16"/>
      <w:lang w:eastAsia="en-US"/>
    </w:rPr>
  </w:style>
  <w:style w:styleId="PlainText" w:type="paragraph">
    <w:name w:val="Plain Text"/>
    <w:basedOn w:val="Normal"/>
    <w:link w:val="PlainTextChar"/>
    <w:uiPriority w:val="99"/>
    <w:semiHidden/>
    <w:unhideWhenUsed/>
    <w:locked/>
    <w:rsid w:val="00E1232E"/>
    <w:pPr>
      <w:spacing w:after="0" w:line="240" w:lineRule="auto"/>
    </w:pPr>
    <w:rPr>
      <w:rFonts w:ascii="Courier New" w:cs="Courier New" w:eastAsia="Times New Roman" w:hAnsi="Courier New"/>
      <w:sz w:val="20"/>
      <w:szCs w:val="20"/>
      <w:lang w:eastAsia="en-US"/>
    </w:rPr>
  </w:style>
  <w:style w:customStyle="1" w:styleId="PlainTextChar" w:type="character">
    <w:name w:val="Plain Text Char"/>
    <w:basedOn w:val="DefaultParagraphFont"/>
    <w:link w:val="PlainText"/>
    <w:uiPriority w:val="99"/>
    <w:semiHidden/>
    <w:rsid w:val="00E1232E"/>
    <w:rPr>
      <w:rFonts w:ascii="Courier New" w:cs="Courier New" w:eastAsia="Times New Roman" w:hAnsi="Courier New"/>
      <w:sz w:val="20"/>
      <w:szCs w:val="20"/>
      <w:lang w:eastAsia="en-US"/>
    </w:rPr>
  </w:style>
  <w:style w:styleId="CommentSubject" w:type="paragraph">
    <w:name w:val="annotation subject"/>
    <w:basedOn w:val="CommentText"/>
    <w:next w:val="CommentText"/>
    <w:link w:val="CommentSubjectChar"/>
    <w:uiPriority w:val="99"/>
    <w:semiHidden/>
    <w:unhideWhenUsed/>
    <w:locked/>
    <w:rsid w:val="00E1232E"/>
    <w:rPr>
      <w:b/>
      <w:bCs/>
    </w:rPr>
  </w:style>
  <w:style w:customStyle="1" w:styleId="CommentSubjectChar" w:type="character">
    <w:name w:val="Comment Subject Char"/>
    <w:basedOn w:val="CommentTextChar"/>
    <w:link w:val="CommentSubject"/>
    <w:uiPriority w:val="99"/>
    <w:semiHidden/>
    <w:rsid w:val="00E1232E"/>
    <w:rPr>
      <w:rFonts w:eastAsia="Times New Roman"/>
      <w:b/>
      <w:bCs/>
      <w:sz w:val="20"/>
      <w:szCs w:val="20"/>
      <w:lang w:eastAsia="en-US"/>
    </w:rPr>
  </w:style>
  <w:style w:styleId="ListParagraph" w:type="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styleId="TOCHeading" w:type="paragraph">
    <w:name w:val="TOC Heading"/>
    <w:basedOn w:val="Heading1"/>
    <w:next w:val="Normal"/>
    <w:uiPriority w:val="39"/>
    <w:semiHidden/>
    <w:unhideWhenUsed/>
    <w:qFormat/>
    <w:locked/>
    <w:rsid w:val="00E1232E"/>
    <w:pPr>
      <w:keepLines/>
      <w:spacing w:after="0" w:before="480"/>
      <w:outlineLvl w:val="9"/>
    </w:pPr>
    <w:rPr>
      <w:color w:themeColor="accent1" w:themeShade="BF" w:val="365F91"/>
      <w:kern w:val="0"/>
      <w:sz w:val="28"/>
      <w:szCs w:val="28"/>
      <w:lang w:eastAsia="ja-JP" w:val="en-US"/>
    </w:rPr>
  </w:style>
  <w:style w:customStyle="1" w:styleId="HeaderFooter" w:type="paragraph">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customStyle="1" w:styleId="ListBulletIndent" w:type="paragraph">
    <w:name w:val="List Bullet Indent"/>
    <w:basedOn w:val="ListBullet"/>
    <w:uiPriority w:val="99"/>
    <w:semiHidden/>
    <w:rsid w:val="00E1232E"/>
    <w:pPr>
      <w:numPr>
        <w:numId w:val="8"/>
      </w:numPr>
    </w:pPr>
  </w:style>
  <w:style w:customStyle="1" w:styleId="TableText" w:type="paragraph">
    <w:name w:val="Table Text"/>
    <w:basedOn w:val="Normal"/>
    <w:uiPriority w:val="99"/>
    <w:semiHidden/>
    <w:rsid w:val="00E1232E"/>
    <w:pPr>
      <w:spacing w:after="60" w:before="60" w:line="300" w:lineRule="auto"/>
    </w:pPr>
    <w:rPr>
      <w:rFonts w:cs="Arial" w:eastAsia="Times New Roman"/>
      <w:sz w:val="20"/>
      <w:szCs w:val="20"/>
      <w:lang w:eastAsia="en-US"/>
    </w:rPr>
  </w:style>
  <w:style w:customStyle="1" w:styleId="Guidance" w:type="paragraph">
    <w:name w:val="Guidance"/>
    <w:basedOn w:val="BodyText"/>
    <w:uiPriority w:val="99"/>
    <w:semiHidden/>
    <w:rsid w:val="00E1232E"/>
    <w:pPr>
      <w:pBdr>
        <w:top w:color="auto" w:space="6" w:sz="4" w:val="single"/>
        <w:left w:color="auto" w:space="6" w:sz="4" w:val="single"/>
        <w:bottom w:color="auto" w:space="6" w:sz="4" w:val="single"/>
        <w:right w:color="auto" w:space="6" w:sz="4" w:val="single"/>
      </w:pBdr>
      <w:spacing w:after="0" w:before="0" w:line="240" w:lineRule="auto"/>
      <w:ind w:left="851"/>
    </w:pPr>
    <w:rPr>
      <w:rFonts w:ascii="Times New Roman" w:hAnsi="Times New Roman"/>
      <w:i/>
    </w:rPr>
  </w:style>
  <w:style w:customStyle="1" w:styleId="Tabletext0" w:type="paragraph">
    <w:name w:val="Table text"/>
    <w:basedOn w:val="Normal"/>
    <w:uiPriority w:val="99"/>
    <w:semiHidden/>
    <w:rsid w:val="00E1232E"/>
    <w:pPr>
      <w:spacing w:after="60" w:before="60" w:line="300" w:lineRule="auto"/>
    </w:pPr>
    <w:rPr>
      <w:rFonts w:cs="Arial" w:eastAsia="Times New Roman"/>
      <w:sz w:val="18"/>
      <w:szCs w:val="20"/>
      <w:lang w:eastAsia="en-US"/>
    </w:rPr>
  </w:style>
  <w:style w:customStyle="1" w:styleId="ListwithBullet" w:type="paragraph">
    <w:name w:val="List with Bullet"/>
    <w:basedOn w:val="Normal"/>
    <w:uiPriority w:val="99"/>
    <w:semiHidden/>
    <w:rsid w:val="00E1232E"/>
    <w:pPr>
      <w:numPr>
        <w:numId w:val="9"/>
      </w:numPr>
      <w:spacing w:after="0" w:line="300" w:lineRule="auto"/>
    </w:pPr>
    <w:rPr>
      <w:rFonts w:eastAsia="Times New Roman"/>
      <w:sz w:val="20"/>
      <w:szCs w:val="20"/>
      <w:lang w:eastAsia="en-US"/>
    </w:rPr>
  </w:style>
  <w:style w:customStyle="1" w:styleId="ListwithBulletinTable" w:type="paragraph">
    <w:name w:val="List with Bullet in Table"/>
    <w:basedOn w:val="ListwithBullet"/>
    <w:uiPriority w:val="99"/>
    <w:semiHidden/>
    <w:qFormat/>
    <w:rsid w:val="00E1232E"/>
    <w:rPr>
      <w:szCs w:val="22"/>
    </w:rPr>
  </w:style>
  <w:style w:customStyle="1" w:styleId="DBRNumbering" w:type="paragraph">
    <w:name w:val="DBR Numbering"/>
    <w:basedOn w:val="TableText"/>
    <w:uiPriority w:val="99"/>
    <w:semiHidden/>
    <w:qFormat/>
    <w:rsid w:val="00E1232E"/>
    <w:pPr>
      <w:numPr>
        <w:numId w:val="10"/>
      </w:numPr>
      <w:spacing w:line="240" w:lineRule="auto"/>
    </w:pPr>
  </w:style>
  <w:style w:customStyle="1" w:styleId="NFRNumbering" w:type="paragraph">
    <w:name w:val="NFR Numbering"/>
    <w:basedOn w:val="DBRNumbering"/>
    <w:uiPriority w:val="99"/>
    <w:semiHidden/>
    <w:qFormat/>
    <w:rsid w:val="00E1232E"/>
    <w:pPr>
      <w:numPr>
        <w:numId w:val="11"/>
      </w:numPr>
    </w:pPr>
    <w:rPr>
      <w:szCs w:val="24"/>
    </w:rPr>
  </w:style>
  <w:style w:customStyle="1" w:styleId="TableHeadingChar" w:type="character">
    <w:name w:val="Table Heading Char"/>
    <w:basedOn w:val="DefaultParagraphFont"/>
    <w:link w:val="TableHeading"/>
    <w:semiHidden/>
    <w:locked/>
    <w:rsid w:val="00E1232E"/>
    <w:rPr>
      <w:rFonts w:ascii="Arial Bold" w:hAnsi="Arial Bold"/>
      <w:b/>
      <w:sz w:val="18"/>
      <w:szCs w:val="22"/>
      <w:lang w:eastAsia="ar-SA"/>
    </w:rPr>
  </w:style>
  <w:style w:customStyle="1" w:styleId="TableHeading" w:type="paragraph">
    <w:name w:val="Table Heading"/>
    <w:basedOn w:val="Normal"/>
    <w:link w:val="TableHeadingChar"/>
    <w:semiHidden/>
    <w:rsid w:val="00E1232E"/>
    <w:pPr>
      <w:keepNext/>
      <w:keepLines/>
      <w:suppressAutoHyphens/>
      <w:spacing w:after="60" w:before="100" w:line="240" w:lineRule="auto"/>
    </w:pPr>
    <w:rPr>
      <w:rFonts w:ascii="Arial Bold" w:hAnsi="Arial Bold"/>
      <w:b/>
      <w:sz w:val="18"/>
      <w:szCs w:val="22"/>
      <w:lang w:eastAsia="ar-SA"/>
    </w:rPr>
  </w:style>
  <w:style w:customStyle="1" w:styleId="TableBullet" w:type="paragraph">
    <w:name w:val="Table Bullet"/>
    <w:basedOn w:val="TableText"/>
    <w:uiPriority w:val="99"/>
    <w:semiHidden/>
    <w:rsid w:val="00E1232E"/>
    <w:pPr>
      <w:numPr>
        <w:numId w:val="12"/>
      </w:numPr>
      <w:spacing w:line="240" w:lineRule="auto"/>
    </w:pPr>
    <w:rPr>
      <w:rFonts w:ascii="Arial (W1)" w:cs="Times New Roman" w:hAnsi="Arial (W1)"/>
      <w:sz w:val="22"/>
    </w:rPr>
  </w:style>
  <w:style w:customStyle="1" w:styleId="Bulletforunderhdr12" w:type="paragraph">
    <w:name w:val="Bullet for under hdr 1 &amp; 2"/>
    <w:basedOn w:val="Normal"/>
    <w:uiPriority w:val="99"/>
    <w:semiHidden/>
    <w:rsid w:val="00E1232E"/>
    <w:pPr>
      <w:numPr>
        <w:numId w:val="13"/>
      </w:numPr>
      <w:spacing w:after="120" w:before="240" w:line="300" w:lineRule="auto"/>
    </w:pPr>
    <w:rPr>
      <w:rFonts w:ascii="Helvetica" w:eastAsia="Times New Roman" w:hAnsi="Helvetica"/>
      <w:sz w:val="20"/>
      <w:szCs w:val="20"/>
      <w:lang w:eastAsia="en-US" w:val="en-GB"/>
    </w:rPr>
  </w:style>
  <w:style w:customStyle="1" w:styleId="Bulletforblueiinfo" w:type="paragraph">
    <w:name w:val="Bullet for blueiinfo"/>
    <w:basedOn w:val="Normal"/>
    <w:uiPriority w:val="99"/>
    <w:semiHidden/>
    <w:rsid w:val="00E1232E"/>
    <w:pPr>
      <w:numPr>
        <w:numId w:val="14"/>
      </w:numPr>
      <w:tabs>
        <w:tab w:pos="737" w:val="clear"/>
        <w:tab w:pos="0" w:val="num"/>
        <w:tab w:pos="1191" w:val="left"/>
      </w:tabs>
      <w:spacing w:after="120" w:before="240" w:line="300" w:lineRule="auto"/>
      <w:ind w:hanging="454" w:left="1191"/>
      <w:jc w:val="both"/>
    </w:pPr>
    <w:rPr>
      <w:rFonts w:eastAsia="Times New Roman"/>
      <w:i/>
      <w:color w:val="0000FF"/>
      <w:sz w:val="20"/>
      <w:szCs w:val="20"/>
      <w:lang w:eastAsia="en-US" w:val="en-GB"/>
    </w:rPr>
  </w:style>
  <w:style w:customStyle="1" w:styleId="TableNormal1" w:type="paragraph">
    <w:name w:val="Table Normal1"/>
    <w:basedOn w:val="Normal"/>
    <w:uiPriority w:val="99"/>
    <w:semiHidden/>
    <w:rsid w:val="00E1232E"/>
    <w:pPr>
      <w:keepNext/>
      <w:keepLines/>
      <w:spacing w:after="60" w:before="60" w:line="240" w:lineRule="auto"/>
    </w:pPr>
    <w:rPr>
      <w:rFonts w:eastAsia="Times New Roman"/>
      <w:sz w:val="18"/>
      <w:szCs w:val="22"/>
      <w:lang w:eastAsia="en-US"/>
    </w:rPr>
  </w:style>
  <w:style w:customStyle="1" w:styleId="TableHeadingCentre" w:type="paragraph">
    <w:name w:val="Table Heading Centre"/>
    <w:basedOn w:val="TableHeading"/>
    <w:uiPriority w:val="99"/>
    <w:semiHidden/>
    <w:rsid w:val="00E1232E"/>
    <w:pPr>
      <w:suppressAutoHyphens w:val="0"/>
      <w:spacing w:before="60"/>
      <w:jc w:val="center"/>
    </w:pPr>
    <w:rPr>
      <w:rFonts w:ascii="Arial (W1)" w:hAnsi="Arial (W1)"/>
      <w:lang w:eastAsia="en-US"/>
    </w:rPr>
  </w:style>
  <w:style w:customStyle="1" w:styleId="heading2text" w:type="paragraph">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customStyle="1" w:styleId="ReturnAddress" w:type="paragraph">
    <w:name w:val="Return Address"/>
    <w:basedOn w:val="Normal"/>
    <w:uiPriority w:val="99"/>
    <w:semiHidden/>
    <w:rsid w:val="00E1232E"/>
    <w:pPr>
      <w:keepLines/>
      <w:framePr w:hAnchor="margin" w:hSpace="187" w:vAnchor="page" w:vSpace="187" w:w="5040" w:wrap="notBeside" w:y="966"/>
      <w:widowControl w:val="0"/>
      <w:overflowPunct w:val="0"/>
      <w:autoSpaceDE w:val="0"/>
      <w:autoSpaceDN w:val="0"/>
      <w:adjustRightInd w:val="0"/>
      <w:spacing w:after="0" w:line="200" w:lineRule="atLeast"/>
    </w:pPr>
    <w:rPr>
      <w:rFonts w:eastAsia="Times New Roman"/>
      <w:spacing w:val="-2"/>
      <w:sz w:val="16"/>
      <w:szCs w:val="20"/>
      <w:lang w:eastAsia="en-US" w:val="en-US"/>
    </w:rPr>
  </w:style>
  <w:style w:customStyle="1" w:styleId="Heading1Text" w:type="paragraph">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customStyle="1" w:styleId="Bullet" w:type="paragraph">
    <w:name w:val="Bullet"/>
    <w:basedOn w:val="Normal"/>
    <w:uiPriority w:val="99"/>
    <w:semiHidden/>
    <w:rsid w:val="00E1232E"/>
    <w:pPr>
      <w:overflowPunct w:val="0"/>
      <w:autoSpaceDE w:val="0"/>
      <w:autoSpaceDN w:val="0"/>
      <w:adjustRightInd w:val="0"/>
      <w:spacing w:after="0" w:before="120" w:line="240" w:lineRule="auto"/>
      <w:ind w:hanging="567" w:left="1418"/>
      <w:jc w:val="both"/>
    </w:pPr>
    <w:rPr>
      <w:rFonts w:ascii="Times New Roman" w:eastAsia="Times New Roman" w:hAnsi="Times New Roman"/>
      <w:szCs w:val="20"/>
      <w:lang w:eastAsia="en-US"/>
    </w:rPr>
  </w:style>
  <w:style w:customStyle="1" w:styleId="Topic" w:type="paragraph">
    <w:name w:val="Topic"/>
    <w:basedOn w:val="Normal"/>
    <w:next w:val="BodyText"/>
    <w:uiPriority w:val="99"/>
    <w:semiHidden/>
    <w:rsid w:val="00E1232E"/>
    <w:pPr>
      <w:spacing w:after="120" w:before="120" w:line="240" w:lineRule="auto"/>
      <w:ind w:left="425"/>
    </w:pPr>
    <w:rPr>
      <w:rFonts w:eastAsia="Times New Roman"/>
      <w:b/>
      <w:smallCaps/>
      <w:szCs w:val="20"/>
      <w:lang w:eastAsia="en-US" w:val="en-US"/>
    </w:rPr>
  </w:style>
  <w:style w:customStyle="1" w:styleId="AppendixHeading1" w:type="paragraph">
    <w:name w:val="Appendix Heading 1"/>
    <w:basedOn w:val="Heading1"/>
    <w:uiPriority w:val="99"/>
    <w:semiHidden/>
    <w:rsid w:val="00E1232E"/>
    <w:pPr>
      <w:keepLines/>
      <w:pageBreakBefore/>
      <w:tabs>
        <w:tab w:pos="510" w:val="left"/>
      </w:tabs>
      <w:overflowPunct w:val="0"/>
      <w:autoSpaceDE w:val="0"/>
      <w:autoSpaceDN w:val="0"/>
      <w:adjustRightInd w:val="0"/>
      <w:spacing w:after="0" w:line="240" w:lineRule="auto"/>
    </w:pPr>
    <w:rPr>
      <w:rFonts w:ascii="Arial" w:cs="Arial" w:eastAsia="Times New Roman" w:hAnsi="Arial"/>
      <w:bCs w:val="0"/>
      <w:kern w:val="0"/>
      <w:sz w:val="36"/>
      <w:szCs w:val="20"/>
      <w:lang w:eastAsia="en-US" w:val="en-US"/>
    </w:rPr>
  </w:style>
  <w:style w:customStyle="1" w:styleId="AppendixHeading2" w:type="paragraph">
    <w:name w:val="Appendix Heading 2"/>
    <w:basedOn w:val="Heading2"/>
    <w:uiPriority w:val="99"/>
    <w:semiHidden/>
    <w:rsid w:val="00E1232E"/>
    <w:pPr>
      <w:keepNext w:val="0"/>
      <w:numPr>
        <w:ilvl w:val="1"/>
        <w:numId w:val="15"/>
      </w:numPr>
      <w:tabs>
        <w:tab w:pos="0" w:val="left"/>
        <w:tab w:pos="567" w:val="left"/>
        <w:tab w:pos="794" w:val="left"/>
        <w:tab w:pos="1350" w:val="left"/>
      </w:tabs>
      <w:overflowPunct w:val="0"/>
      <w:autoSpaceDE w:val="0"/>
      <w:autoSpaceDN w:val="0"/>
      <w:adjustRightInd w:val="0"/>
      <w:spacing w:after="0" w:before="360" w:line="240" w:lineRule="atLeast"/>
    </w:pPr>
    <w:rPr>
      <w:rFonts w:ascii="Arial" w:cs="Arial" w:eastAsia="Times New Roman" w:hAnsi="Arial"/>
      <w:bCs w:val="0"/>
      <w:i w:val="0"/>
      <w:iCs w:val="0"/>
      <w:szCs w:val="20"/>
      <w:lang w:eastAsia="en-US" w:val="en-US"/>
    </w:rPr>
  </w:style>
  <w:style w:customStyle="1" w:styleId="ruler5" w:type="paragraph">
    <w:name w:val="ruler 5"/>
    <w:basedOn w:val="Normal"/>
    <w:uiPriority w:val="99"/>
    <w:semiHidden/>
    <w:rsid w:val="00E1232E"/>
    <w:pPr>
      <w:tabs>
        <w:tab w:pos="882" w:val="left"/>
        <w:tab w:pos="1857" w:val="left"/>
        <w:tab w:pos="2831" w:val="left"/>
        <w:tab w:pos="6589" w:val="left"/>
      </w:tabs>
      <w:spacing w:after="0" w:line="240" w:lineRule="auto"/>
    </w:pPr>
    <w:rPr>
      <w:rFonts w:ascii="Times" w:eastAsia="Times New Roman" w:hAnsi="Times"/>
      <w:noProof/>
      <w:color w:val="000000"/>
      <w:sz w:val="20"/>
      <w:szCs w:val="20"/>
      <w:lang w:eastAsia="en-US"/>
    </w:rPr>
  </w:style>
  <w:style w:customStyle="1" w:styleId="Normal1" w:type="paragraph">
    <w:name w:val="Normal1"/>
    <w:basedOn w:val="Normal"/>
    <w:uiPriority w:val="99"/>
    <w:semiHidden/>
    <w:rsid w:val="00E1232E"/>
    <w:pPr>
      <w:tabs>
        <w:tab w:pos="-1440" w:val="left"/>
        <w:tab w:pos="-720" w:val="left"/>
        <w:tab w:pos="1" w:val="left"/>
        <w:tab w:pos="1080" w:val="left"/>
        <w:tab w:pos="1800" w:val="left"/>
        <w:tab w:pos="252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s>
      <w:suppressAutoHyphens/>
      <w:spacing w:after="0" w:before="120" w:line="240" w:lineRule="auto"/>
      <w:jc w:val="both"/>
    </w:pPr>
    <w:rPr>
      <w:rFonts w:ascii="Times New Roman" w:eastAsia="Times New Roman" w:hAnsi="Times New Roman"/>
      <w:b/>
      <w:spacing w:val="-3"/>
      <w:szCs w:val="20"/>
      <w:lang w:eastAsia="en-US" w:val="en-GB"/>
    </w:rPr>
  </w:style>
  <w:style w:customStyle="1" w:styleId="BulletLast" w:type="paragraph">
    <w:name w:val="Bullet Last"/>
    <w:basedOn w:val="Bullet"/>
    <w:next w:val="Normal"/>
    <w:uiPriority w:val="99"/>
    <w:semiHidden/>
    <w:rsid w:val="00E1232E"/>
    <w:pPr>
      <w:tabs>
        <w:tab w:pos="720" w:val="num"/>
      </w:tabs>
      <w:overflowPunct/>
      <w:autoSpaceDE/>
      <w:autoSpaceDN/>
      <w:adjustRightInd/>
      <w:spacing w:after="240" w:before="0"/>
      <w:ind w:hanging="288" w:left="648"/>
    </w:pPr>
    <w:rPr>
      <w:lang w:val="en-GB"/>
    </w:rPr>
  </w:style>
  <w:style w:customStyle="1" w:styleId="DecimalAligned" w:type="paragraph">
    <w:name w:val="Decimal Aligned"/>
    <w:basedOn w:val="Normal"/>
    <w:uiPriority w:val="40"/>
    <w:semiHidden/>
    <w:qFormat/>
    <w:rsid w:val="00E1232E"/>
    <w:pPr>
      <w:tabs>
        <w:tab w:pos="360" w:val="decimal"/>
      </w:tabs>
    </w:pPr>
    <w:rPr>
      <w:rFonts w:asciiTheme="minorHAnsi" w:cstheme="minorBidi" w:eastAsiaTheme="minorHAnsi" w:hAnsiTheme="minorHAnsi"/>
      <w:sz w:val="20"/>
      <w:szCs w:val="22"/>
      <w:lang w:eastAsia="ja-JP" w:val="en-US"/>
    </w:rPr>
  </w:style>
  <w:style w:styleId="CommentReference" w:type="character">
    <w:name w:val="annotation reference"/>
    <w:basedOn w:val="DefaultParagraphFont"/>
    <w:semiHidden/>
    <w:unhideWhenUsed/>
    <w:locked/>
    <w:rsid w:val="00E1232E"/>
    <w:rPr>
      <w:sz w:val="16"/>
      <w:szCs w:val="16"/>
    </w:rPr>
  </w:style>
  <w:style w:styleId="SubtleEmphasis" w:type="character">
    <w:name w:val="Subtle Emphasis"/>
    <w:basedOn w:val="DefaultParagraphFont"/>
    <w:uiPriority w:val="19"/>
    <w:qFormat/>
    <w:locked/>
    <w:rsid w:val="00E1232E"/>
    <w:rPr>
      <w:i/>
      <w:iCs/>
      <w:color w:themeColor="text1" w:themeTint="80" w:val="7F7F7F"/>
    </w:rPr>
  </w:style>
  <w:style w:customStyle="1" w:styleId="xdtextbox1" w:type="character">
    <w:name w:val="xdtextbox1"/>
    <w:basedOn w:val="DefaultParagraphFont"/>
    <w:rsid w:val="00E1232E"/>
    <w:rPr>
      <w:color w:val="auto"/>
      <w:bdr w:color="DCDCDC" w:frame="1" w:space="1" w:sz="8" w:val="single"/>
      <w:shd w:color="auto" w:fill="FFFFFF" w:val="clear"/>
    </w:rPr>
  </w:style>
  <w:style w:styleId="MediumGrid1-Accent3" w:type="table">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Shading2-Accent5" w:type="table">
    <w:name w:val="Medium Shading 2 Accent 5"/>
    <w:basedOn w:val="TableNormal"/>
    <w:uiPriority w:val="64"/>
    <w:locked/>
    <w:rsid w:val="00E1232E"/>
    <w:rPr>
      <w:rFonts w:asciiTheme="minorHAnsi" w:cstheme="minorBidi" w:eastAsiaTheme="minorEastAsia" w:hAnsiTheme="minorHAnsi"/>
      <w:sz w:val="22"/>
      <w:szCs w:val="22"/>
      <w:lang w:eastAsia="ja-JP" w:val="en-US"/>
    </w:r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afterAutospacing="0" w:afterLines="0" w:before="0" w:beforeAutospacing="0" w:beforeLines="0" w:line="240" w:lineRule="auto"/>
      </w:pPr>
      <w:rPr>
        <w:color w:val="000000"/>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Accent6" w:type="table">
    <w:name w:val="Medium List 1 Accent 6"/>
    <w:basedOn w:val="TableNormal"/>
    <w:uiPriority w:val="65"/>
    <w:locked/>
    <w:rsid w:val="00E1232E"/>
    <w:rPr>
      <w:rFonts w:ascii="Times New Roman" w:eastAsia="Times New Roman" w:hAnsi="Times New Roman"/>
      <w:color w:themeColor="text1" w:val="000000"/>
      <w:sz w:val="20"/>
      <w:szCs w:val="2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customStyle="1" w:styleId="LightList-Accent11" w:type="table">
    <w:name w:val="Light List - Accent 1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4F81BD" w:themeFill="accent1" w:val="clear"/>
      </w:tcPr>
    </w:tblStylePr>
    <w:tblStylePr w:type="lastRow">
      <w:pPr>
        <w:spacing w:after="0" w:afterAutospacing="0" w:afterLines="0" w:before="0" w:beforeAutospacing="0" w:beforeLines="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customStyle="1" w:styleId="ColorfulGrid1" w:type="table">
    <w:name w:val="Colorful Grid1"/>
    <w:basedOn w:val="TableNormal"/>
    <w:uiPriority w:val="73"/>
    <w:rsid w:val="00E1232E"/>
    <w:rPr>
      <w:rFonts w:ascii="Times New Roman" w:eastAsia="Times New Roman" w:hAnsi="Times New Roman"/>
      <w:color w:themeColor="text1" w:val="000000"/>
      <w:sz w:val="20"/>
      <w:szCs w:val="2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customStyle="1" w:styleId="MediumList11" w:type="table">
    <w:name w:val="Medium List 11"/>
    <w:basedOn w:val="TableNormal"/>
    <w:uiPriority w:val="65"/>
    <w:rsid w:val="00E1232E"/>
    <w:rPr>
      <w:rFonts w:ascii="Times New Roman" w:eastAsia="Times New Roman" w:hAnsi="Times New Roman"/>
      <w:color w:themeColor="text1" w:val="000000"/>
      <w:sz w:val="20"/>
      <w:szCs w:val="2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hint="default"/>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customStyle="1" w:styleId="LightList1" w:type="table">
    <w:name w:val="Light List1"/>
    <w:basedOn w:val="TableNormal"/>
    <w:uiPriority w:val="61"/>
    <w:rsid w:val="00E1232E"/>
    <w:rPr>
      <w:rFonts w:ascii="Times New Roman" w:eastAsia="Times New Roman" w:hAnsi="Times New Roman"/>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afterAutospacing="0" w:afterLines="0" w:before="0" w:beforeAutospacing="0" w:beforeLines="0" w:line="240" w:lineRule="auto"/>
      </w:pPr>
      <w:rPr>
        <w:b/>
        <w:bCs/>
        <w:color w:themeColor="background1" w:val="FFFFFF"/>
      </w:rPr>
      <w:tblPr/>
      <w:tcPr>
        <w:shd w:color="auto" w:fill="000000" w:themeFill="text1" w:val="clear"/>
      </w:tcPr>
    </w:tblStylePr>
    <w:tblStylePr w:type="lastRow">
      <w:pPr>
        <w:spacing w:after="0" w:afterAutospacing="0" w:afterLines="0" w:before="0" w:beforeAutospacing="0" w:beforeLines="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customStyle="1" w:styleId="MediumGrid21" w:type="table">
    <w:name w:val="Medium Grid 21"/>
    <w:basedOn w:val="TableNormal"/>
    <w:uiPriority w:val="68"/>
    <w:rsid w:val="00E1232E"/>
    <w:rPr>
      <w:rFonts w:asciiTheme="majorHAnsi" w:cstheme="majorBidi" w:eastAsiaTheme="majorEastAsia" w:hAnsiTheme="majorHAnsi"/>
      <w:color w:themeColor="text1" w:val="000000"/>
      <w:sz w:val="20"/>
      <w:szCs w:val="2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FootnoteReference" w:type="character">
    <w:name w:val="footnote reference"/>
    <w:basedOn w:val="DefaultParagraphFont"/>
    <w:uiPriority w:val="99"/>
    <w:unhideWhenUsed/>
    <w:locked/>
    <w:rsid w:val="0049645A"/>
    <w:rPr>
      <w:vertAlign w:val="superscript"/>
    </w:rPr>
  </w:style>
  <w:style w:customStyle="1" w:styleId="disclaimer" w:type="paragraph">
    <w:name w:val="disclaimer"/>
    <w:basedOn w:val="Normal"/>
    <w:rsid w:val="00575FAB"/>
    <w:pPr>
      <w:spacing w:after="100" w:afterAutospacing="1" w:before="100" w:beforeAutospacing="1" w:line="240" w:lineRule="auto"/>
    </w:pPr>
    <w:rPr>
      <w:rFonts w:ascii="Times" w:hAnsi="Times"/>
      <w:sz w:val="20"/>
      <w:szCs w:val="20"/>
      <w:lang w:eastAsia="en-US"/>
    </w:rPr>
  </w:style>
  <w:style w:styleId="Emphasis" w:type="character">
    <w:name w:val="Emphasis"/>
    <w:basedOn w:val="DefaultParagraphFont"/>
    <w:uiPriority w:val="20"/>
    <w:qFormat/>
    <w:locked/>
    <w:rsid w:val="00A2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4412">
      <w:bodyDiv w:val="1"/>
      <w:marLeft w:val="0"/>
      <w:marRight w:val="0"/>
      <w:marTop w:val="0"/>
      <w:marBottom w:val="0"/>
      <w:divBdr>
        <w:top w:val="none" w:sz="0" w:space="0" w:color="auto"/>
        <w:left w:val="none" w:sz="0" w:space="0" w:color="auto"/>
        <w:bottom w:val="none" w:sz="0" w:space="0" w:color="auto"/>
        <w:right w:val="none" w:sz="0" w:space="0" w:color="auto"/>
      </w:divBdr>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Target="endnotes.xml" Type="http://schemas.openxmlformats.org/officeDocument/2006/relationships/endnotes" Id="rId8"/><Relationship Target="styles.xml" Type="http://schemas.openxmlformats.org/officeDocument/2006/relationships/styles" Id="rId3"/><Relationship Target="footnotes.xml" Type="http://schemas.openxmlformats.org/officeDocument/2006/relationships/footnotes" Id="rId7"/><Relationship Target="theme/theme1.xml" Type="http://schemas.openxmlformats.org/officeDocument/2006/relationships/theme" Id="rId12"/><Relationship Target="numbering.xml" Type="http://schemas.openxmlformats.org/officeDocument/2006/relationships/numbering" Id="rId2"/><Relationship Target="../customXml/item1.xml" Type="http://schemas.openxmlformats.org/officeDocument/2006/relationships/customXml" Id="rId1"/><Relationship Target="webSettings.xml" Type="http://schemas.openxmlformats.org/officeDocument/2006/relationships/webSettings" Id="rId6"/><Relationship Target="glossary/document.xml" Type="http://schemas.openxmlformats.org/officeDocument/2006/relationships/glossaryDocument" Id="rId11"/><Relationship Target="settings.xml" Type="http://schemas.openxmlformats.org/officeDocument/2006/relationships/settings" Id="rId5"/><Relationship Target="fontTable.xml" Type="http://schemas.openxmlformats.org/officeDocument/2006/relationships/fontTable" Id="rId10"/><Relationship Target="stylesWithEffects.xml" Type="http://schemas.microsoft.com/office/2007/relationships/stylesWithEffects" Id="rId4"/><Relationship Target="media/image1.gif" Type="http://schemas.openxmlformats.org/officeDocument/2006/relationships/image" Id="rId9"/></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6457288971B39E4CA9B911AD82732253"/>
        <w:category>
          <w:name w:val="General"/>
          <w:gallery w:val="placeholder"/>
        </w:category>
        <w:types>
          <w:type w:val="bbPlcHdr"/>
        </w:types>
        <w:behaviors>
          <w:behavior w:val="content"/>
        </w:behaviors>
        <w:guid w:val="{C03967DB-C583-6243-9BBB-914394D42E0D}"/>
      </w:docPartPr>
      <w:docPartBody>
        <w:p w:rsidR="007F094C" w:rsidRDefault="00CC11D7">
          <w:pPr>
            <w:pStyle w:val="6457288971B39E4CA9B911AD82732253"/>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A23E6993E6A8F64D83520CA63B49071B"/>
        <w:category>
          <w:name w:val="General"/>
          <w:gallery w:val="placeholder"/>
        </w:category>
        <w:types>
          <w:type w:val="bbPlcHdr"/>
        </w:types>
        <w:behaviors>
          <w:behavior w:val="content"/>
        </w:behaviors>
        <w:guid w:val="{8D486C68-67A9-ED40-990D-ABF9DFAFEB43}"/>
      </w:docPartPr>
      <w:docPartBody>
        <w:p w:rsidR="007F094C" w:rsidRDefault="00CC11D7">
          <w:pPr>
            <w:pStyle w:val="A23E6993E6A8F64D83520CA63B49071B"/>
          </w:pPr>
          <w:r>
            <w:t xml:space="preserve"> </w:t>
          </w:r>
        </w:p>
      </w:docPartBody>
    </w:docPart>
    <w:docPart>
      <w:docPartPr>
        <w:name w:val="060452A863326F40B8E9CC07DB6917FD"/>
        <w:category>
          <w:name w:val="General"/>
          <w:gallery w:val="placeholder"/>
        </w:category>
        <w:types>
          <w:type w:val="bbPlcHdr"/>
        </w:types>
        <w:behaviors>
          <w:behavior w:val="content"/>
        </w:behaviors>
        <w:guid w:val="{F6206FBE-4217-7544-895C-D388963981AC}"/>
      </w:docPartPr>
      <w:docPartBody>
        <w:p w:rsidR="007F094C" w:rsidRDefault="00CC11D7">
          <w:pPr>
            <w:pStyle w:val="060452A863326F40B8E9CC07DB6917FD"/>
          </w:pPr>
          <w:r>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E8B7626A71E1B64AB957DAADD4528E61"/>
        <w:category>
          <w:name w:val="General"/>
          <w:gallery w:val="placeholder"/>
        </w:category>
        <w:types>
          <w:type w:val="bbPlcHdr"/>
        </w:types>
        <w:behaviors>
          <w:behavior w:val="content"/>
        </w:behaviors>
        <w:guid w:val="{F6FF1757-727B-5F46-B297-7C222A873B84}"/>
      </w:docPartPr>
      <w:docPartBody>
        <w:p w:rsidR="007F094C" w:rsidRDefault="00CC11D7">
          <w:pPr>
            <w:pStyle w:val="E8B7626A71E1B64AB957DAADD4528E61"/>
          </w:pPr>
          <w:r>
            <w:t xml:space="preserve"> </w:t>
          </w:r>
        </w:p>
      </w:docPartBody>
    </w:docPart>
    <w:docPart>
      <w:docPartPr>
        <w:name w:val="217D38CADD01B94283F7C310F9E5BE50"/>
        <w:category>
          <w:name w:val="General"/>
          <w:gallery w:val="placeholder"/>
        </w:category>
        <w:types>
          <w:type w:val="bbPlcHdr"/>
        </w:types>
        <w:behaviors>
          <w:behavior w:val="content"/>
        </w:behaviors>
        <w:guid w:val="{1B3EF63B-9AE2-EF4F-9034-60D6F8919FC9}"/>
      </w:docPartPr>
      <w:docPartBody>
        <w:p w:rsidR="007F094C" w:rsidRDefault="00CC11D7">
          <w:pPr>
            <w:pStyle w:val="217D38CADD01B94283F7C310F9E5BE50"/>
          </w:pPr>
          <w:r>
            <w:t xml:space="preserve"> </w:t>
          </w:r>
        </w:p>
      </w:docPartBody>
    </w:docPart>
    <w:docPart>
      <w:docPartPr>
        <w:name w:val="2FBB1D739F997A4C9851874ABC8B0AC1"/>
        <w:category>
          <w:name w:val="General"/>
          <w:gallery w:val="placeholder"/>
        </w:category>
        <w:types>
          <w:type w:val="bbPlcHdr"/>
        </w:types>
        <w:behaviors>
          <w:behavior w:val="content"/>
        </w:behaviors>
        <w:guid w:val="{C758149D-25F4-9348-8BE5-D48EC9AC86CA}"/>
      </w:docPartPr>
      <w:docPartBody>
        <w:p w:rsidR="007F094C" w:rsidRDefault="00CC11D7">
          <w:pPr>
            <w:pStyle w:val="2FBB1D739F997A4C9851874ABC8B0AC1"/>
          </w:pPr>
          <w:r>
            <w:t xml:space="preserve"> </w:t>
          </w:r>
        </w:p>
      </w:docPartBody>
    </w:docPart>
    <w:docPart>
      <w:docPartPr>
        <w:name w:val="F09835F13B8F9844838CACDD8B96763F"/>
        <w:category>
          <w:name w:val="General"/>
          <w:gallery w:val="placeholder"/>
        </w:category>
        <w:types>
          <w:type w:val="bbPlcHdr"/>
        </w:types>
        <w:behaviors>
          <w:behavior w:val="content"/>
        </w:behaviors>
        <w:guid w:val="{4D3115AC-1E93-1146-AE15-23519131424C}"/>
      </w:docPartPr>
      <w:docPartBody>
        <w:p w:rsidR="007F094C" w:rsidRDefault="00CC11D7">
          <w:pPr>
            <w:pStyle w:val="F09835F13B8F9844838CACDD8B96763F"/>
          </w:pPr>
          <w:r w:rsidRPr="00F822F4">
            <w:t xml:space="preserve"> </w:t>
          </w:r>
        </w:p>
      </w:docPartBody>
    </w:docPart>
    <w:docPart>
      <w:docPartPr>
        <w:name w:val="4D4B4D2BC735494E88685FCB1B11F7E2"/>
        <w:category>
          <w:name w:val="General"/>
          <w:gallery w:val="placeholder"/>
        </w:category>
        <w:types>
          <w:type w:val="bbPlcHdr"/>
        </w:types>
        <w:behaviors>
          <w:behavior w:val="content"/>
        </w:behaviors>
        <w:guid w:val="{EB8C9ADF-3140-4244-8D17-9EA5E5BDBBB6}"/>
      </w:docPartPr>
      <w:docPartBody>
        <w:p w:rsidR="007F094C" w:rsidRDefault="00CC11D7">
          <w:pPr>
            <w:pStyle w:val="4D4B4D2BC735494E88685FCB1B11F7E2"/>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RDefault="00CC11D7" w:rsidP="00757FAD">
          <w:pPr>
            <w:pStyle w:val="001534073BC94C468D9A6C5C3502283B"/>
          </w:pPr>
          <w:r w:rsidRPr="00B078D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4C"/>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A5C35"/>
    <w:rsid w:val="00ED273B"/>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customStyle="1" w:styleId="2287E3D7A5999C449F68774214E87459">
    <w:name w:val="2287E3D7A5999C449F68774214E87459"/>
  </w:style>
  <w:style w:type="paragraph" w:customStyle="1" w:styleId="23714A54DE1C5349A32215100E23C70C">
    <w:name w:val="23714A54DE1C5349A32215100E23C70C"/>
  </w:style>
  <w:style w:type="paragraph" w:customStyle="1" w:styleId="CEA0958D29B321449DAA1A3408663E44">
    <w:name w:val="CEA0958D29B321449DAA1A3408663E44"/>
  </w:style>
  <w:style w:type="paragraph" w:customStyle="1" w:styleId="9CA603291F38E74C952F4F0686E7F43F">
    <w:name w:val="9CA603291F38E74C952F4F0686E7F43F"/>
  </w:style>
  <w:style w:type="paragraph" w:customStyle="1" w:styleId="6457288971B39E4CA9B911AD82732253">
    <w:name w:val="6457288971B39E4CA9B911AD82732253"/>
  </w:style>
  <w:style w:type="paragraph" w:customStyle="1" w:styleId="49E1DA3C6A1E71459A736F86010B5AED">
    <w:name w:val="49E1DA3C6A1E71459A736F86010B5AED"/>
  </w:style>
  <w:style w:type="paragraph" w:customStyle="1" w:styleId="5D455C8DB3370C429E683BD45AAD2263">
    <w:name w:val="5D455C8DB3370C429E683BD45AAD2263"/>
  </w:style>
  <w:style w:type="paragraph" w:customStyle="1" w:styleId="8E1FCF9D9BCC7544965FEDDA8E4336E8">
    <w:name w:val="8E1FCF9D9BCC7544965FEDDA8E4336E8"/>
  </w:style>
  <w:style w:type="paragraph" w:customStyle="1" w:styleId="BB94B27A1B38FB49AA2427CB2341BFF9">
    <w:name w:val="BB94B27A1B38FB49AA2427CB2341BFF9"/>
  </w:style>
  <w:style w:type="paragraph" w:customStyle="1" w:styleId="9628263C21A0F347B1037F8B6E2E16E6">
    <w:name w:val="9628263C21A0F347B1037F8B6E2E16E6"/>
  </w:style>
  <w:style w:type="paragraph" w:customStyle="1" w:styleId="5A00766E1BC20A46B675FA54E3371F87">
    <w:name w:val="5A00766E1BC20A46B675FA54E3371F87"/>
  </w:style>
  <w:style w:type="paragraph" w:customStyle="1" w:styleId="A23E6993E6A8F64D83520CA63B49071B">
    <w:name w:val="A23E6993E6A8F64D83520CA63B49071B"/>
  </w:style>
  <w:style w:type="paragraph" w:customStyle="1" w:styleId="060452A863326F40B8E9CC07DB6917FD">
    <w:name w:val="060452A863326F40B8E9CC07DB6917FD"/>
  </w:style>
  <w:style w:type="paragraph" w:customStyle="1" w:styleId="6628CDE8242ABE4A8E58F2768A081E0C">
    <w:name w:val="6628CDE8242ABE4A8E58F2768A081E0C"/>
  </w:style>
  <w:style w:type="paragraph" w:customStyle="1" w:styleId="B3EE222B3A0F7C449BC3F6E77D0B866B">
    <w:name w:val="B3EE222B3A0F7C449BC3F6E77D0B866B"/>
  </w:style>
  <w:style w:type="paragraph" w:customStyle="1" w:styleId="1A38A171EF11A54DB21B83C7D4CB0CBA">
    <w:name w:val="1A38A171EF11A54DB21B83C7D4CB0CBA"/>
  </w:style>
  <w:style w:type="paragraph" w:customStyle="1" w:styleId="C38290365A6BEE4A83D8CA3C9A53E9A8">
    <w:name w:val="C38290365A6BEE4A83D8CA3C9A53E9A8"/>
  </w:style>
  <w:style w:type="paragraph" w:customStyle="1" w:styleId="A7B47E2D68429748B46F94DAB4579B86">
    <w:name w:val="A7B47E2D68429748B46F94DAB4579B86"/>
  </w:style>
  <w:style w:type="paragraph" w:customStyle="1" w:styleId="E8B7626A71E1B64AB957DAADD4528E61">
    <w:name w:val="E8B7626A71E1B64AB957DAADD4528E61"/>
  </w:style>
  <w:style w:type="paragraph" w:customStyle="1" w:styleId="217D38CADD01B94283F7C310F9E5BE50">
    <w:name w:val="217D38CADD01B94283F7C310F9E5BE50"/>
  </w:style>
  <w:style w:type="paragraph" w:customStyle="1" w:styleId="2FBB1D739F997A4C9851874ABC8B0AC1">
    <w:name w:val="2FBB1D739F997A4C9851874ABC8B0AC1"/>
  </w:style>
  <w:style w:type="paragraph" w:customStyle="1" w:styleId="F09835F13B8F9844838CACDD8B96763F">
    <w:name w:val="F09835F13B8F9844838CACDD8B96763F"/>
  </w:style>
  <w:style w:type="paragraph" w:customStyle="1" w:styleId="4D4B4D2BC735494E88685FCB1B11F7E2">
    <w:name w:val="4D4B4D2BC735494E88685FCB1B11F7E2"/>
  </w:style>
  <w:style w:type="paragraph" w:customStyle="1" w:styleId="6DD604F3D83441E0ACFB8E524F030D05">
    <w:name w:val="6DD604F3D83441E0ACFB8E524F030D05"/>
    <w:rsid w:val="00CF7259"/>
    <w:pPr>
      <w:spacing w:after="200" w:line="276" w:lineRule="auto"/>
    </w:pPr>
    <w:rPr>
      <w:sz w:val="22"/>
      <w:szCs w:val="22"/>
      <w:lang w:eastAsia="en-AU"/>
    </w:rPr>
  </w:style>
  <w:style w:type="paragraph" w:customStyle="1" w:styleId="001534073BC94C468D9A6C5C3502283B">
    <w:name w:val="001534073BC94C468D9A6C5C3502283B"/>
    <w:rsid w:val="00757FAD"/>
    <w:pPr>
      <w:spacing w:after="200" w:line="276" w:lineRule="auto"/>
    </w:pPr>
    <w:rPr>
      <w:sz w:val="22"/>
      <w:szCs w:val="22"/>
      <w:lang w:eastAsia="en-AU"/>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4"/>
        <w:szCs w:val="24"/>
        <w:lang w:bidi="ar-SA" w:eastAsia="ja-JP" w:val="en-A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PlaceholderText" w:type="character">
    <w:name w:val="Placeholder Text"/>
    <w:basedOn w:val="DefaultParagraphFont"/>
    <w:uiPriority w:val="99"/>
    <w:semiHidden/>
    <w:rsid w:val="00CC11D7"/>
    <w:rPr>
      <w:color w:val="808080"/>
    </w:rPr>
  </w:style>
  <w:style w:customStyle="1" w:styleId="2287E3D7A5999C449F68774214E87459" w:type="paragraph">
    <w:name w:val="2287E3D7A5999C449F68774214E87459"/>
  </w:style>
  <w:style w:customStyle="1" w:styleId="23714A54DE1C5349A32215100E23C70C" w:type="paragraph">
    <w:name w:val="23714A54DE1C5349A32215100E23C70C"/>
  </w:style>
  <w:style w:customStyle="1" w:styleId="CEA0958D29B321449DAA1A3408663E44" w:type="paragraph">
    <w:name w:val="CEA0958D29B321449DAA1A3408663E44"/>
  </w:style>
  <w:style w:customStyle="1" w:styleId="9CA603291F38E74C952F4F0686E7F43F" w:type="paragraph">
    <w:name w:val="9CA603291F38E74C952F4F0686E7F43F"/>
  </w:style>
  <w:style w:customStyle="1" w:styleId="6457288971B39E4CA9B911AD82732253" w:type="paragraph">
    <w:name w:val="6457288971B39E4CA9B911AD82732253"/>
  </w:style>
  <w:style w:customStyle="1" w:styleId="49E1DA3C6A1E71459A736F86010B5AED" w:type="paragraph">
    <w:name w:val="49E1DA3C6A1E71459A736F86010B5AED"/>
  </w:style>
  <w:style w:customStyle="1" w:styleId="5D455C8DB3370C429E683BD45AAD2263" w:type="paragraph">
    <w:name w:val="5D455C8DB3370C429E683BD45AAD2263"/>
  </w:style>
  <w:style w:customStyle="1" w:styleId="8E1FCF9D9BCC7544965FEDDA8E4336E8" w:type="paragraph">
    <w:name w:val="8E1FCF9D9BCC7544965FEDDA8E4336E8"/>
  </w:style>
  <w:style w:customStyle="1" w:styleId="BB94B27A1B38FB49AA2427CB2341BFF9" w:type="paragraph">
    <w:name w:val="BB94B27A1B38FB49AA2427CB2341BFF9"/>
  </w:style>
  <w:style w:customStyle="1" w:styleId="9628263C21A0F347B1037F8B6E2E16E6" w:type="paragraph">
    <w:name w:val="9628263C21A0F347B1037F8B6E2E16E6"/>
  </w:style>
  <w:style w:customStyle="1" w:styleId="5A00766E1BC20A46B675FA54E3371F87" w:type="paragraph">
    <w:name w:val="5A00766E1BC20A46B675FA54E3371F87"/>
  </w:style>
  <w:style w:customStyle="1" w:styleId="A23E6993E6A8F64D83520CA63B49071B" w:type="paragraph">
    <w:name w:val="A23E6993E6A8F64D83520CA63B49071B"/>
  </w:style>
  <w:style w:customStyle="1" w:styleId="060452A863326F40B8E9CC07DB6917FD" w:type="paragraph">
    <w:name w:val="060452A863326F40B8E9CC07DB6917FD"/>
  </w:style>
  <w:style w:customStyle="1" w:styleId="6628CDE8242ABE4A8E58F2768A081E0C" w:type="paragraph">
    <w:name w:val="6628CDE8242ABE4A8E58F2768A081E0C"/>
  </w:style>
  <w:style w:customStyle="1" w:styleId="B3EE222B3A0F7C449BC3F6E77D0B866B" w:type="paragraph">
    <w:name w:val="B3EE222B3A0F7C449BC3F6E77D0B866B"/>
  </w:style>
  <w:style w:customStyle="1" w:styleId="1A38A171EF11A54DB21B83C7D4CB0CBA" w:type="paragraph">
    <w:name w:val="1A38A171EF11A54DB21B83C7D4CB0CBA"/>
  </w:style>
  <w:style w:customStyle="1" w:styleId="C38290365A6BEE4A83D8CA3C9A53E9A8" w:type="paragraph">
    <w:name w:val="C38290365A6BEE4A83D8CA3C9A53E9A8"/>
  </w:style>
  <w:style w:customStyle="1" w:styleId="A7B47E2D68429748B46F94DAB4579B86" w:type="paragraph">
    <w:name w:val="A7B47E2D68429748B46F94DAB4579B86"/>
  </w:style>
  <w:style w:customStyle="1" w:styleId="E8B7626A71E1B64AB957DAADD4528E61" w:type="paragraph">
    <w:name w:val="E8B7626A71E1B64AB957DAADD4528E61"/>
  </w:style>
  <w:style w:customStyle="1" w:styleId="217D38CADD01B94283F7C310F9E5BE50" w:type="paragraph">
    <w:name w:val="217D38CADD01B94283F7C310F9E5BE50"/>
  </w:style>
  <w:style w:customStyle="1" w:styleId="2FBB1D739F997A4C9851874ABC8B0AC1" w:type="paragraph">
    <w:name w:val="2FBB1D739F997A4C9851874ABC8B0AC1"/>
  </w:style>
  <w:style w:customStyle="1" w:styleId="F09835F13B8F9844838CACDD8B96763F" w:type="paragraph">
    <w:name w:val="F09835F13B8F9844838CACDD8B96763F"/>
  </w:style>
  <w:style w:customStyle="1" w:styleId="4D4B4D2BC735494E88685FCB1B11F7E2" w:type="paragraph">
    <w:name w:val="4D4B4D2BC735494E88685FCB1B11F7E2"/>
  </w:style>
  <w:style w:customStyle="1" w:styleId="6DD604F3D83441E0ACFB8E524F030D05" w:type="paragraph">
    <w:name w:val="6DD604F3D83441E0ACFB8E524F030D05"/>
    <w:rsid w:val="00CF7259"/>
    <w:pPr>
      <w:spacing w:after="200" w:line="276" w:lineRule="auto"/>
    </w:pPr>
    <w:rPr>
      <w:sz w:val="22"/>
      <w:szCs w:val="22"/>
      <w:lang w:eastAsia="en-AU"/>
    </w:rPr>
  </w:style>
  <w:style w:customStyle="1" w:styleId="001534073BC94C468D9A6C5C3502283B" w:type="paragraph">
    <w:name w:val="001534073BC94C468D9A6C5C3502283B"/>
    <w:rsid w:val="00757FAD"/>
    <w:pPr>
      <w:spacing w:after="200" w:line="276"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BD6D699-177F-43CA-B73F-02C38C2B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Xabi Errotabehere</dc:creator>
  <cp:lastModifiedBy>Thomas Bui</cp:lastModifiedBy>
  <cp:revision>29</cp:revision>
  <cp:lastPrinted>2014-09-01T05:35:00Z</cp:lastPrinted>
  <dcterms:created xsi:type="dcterms:W3CDTF">2014-10-03T02:54:00Z</dcterms:created>
  <dcterms:modified xsi:type="dcterms:W3CDTF">2015-02-25T06:52:00Z</dcterms:modified>
</cp:coreProperties>
</file>